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726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559"/>
        <w:gridCol w:w="7229"/>
        <w:gridCol w:w="1560"/>
        <w:gridCol w:w="3260"/>
      </w:tblGrid>
      <w:tr w:rsidR="00196F45" w:rsidTr="00B936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5" w:rsidRDefault="00196F45" w:rsidP="00E433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 </w:t>
            </w:r>
            <w:r w:rsidR="007E4C07">
              <w:rPr>
                <w:b/>
              </w:rPr>
              <w:t>12</w:t>
            </w:r>
            <w:r w:rsidR="00B730C7" w:rsidRPr="00B730C7">
              <w:rPr>
                <w:b/>
              </w:rPr>
              <w:t>/</w:t>
            </w:r>
            <w:r w:rsidR="007528A6">
              <w:rPr>
                <w:b/>
              </w:rPr>
              <w:t>0</w:t>
            </w:r>
            <w:r w:rsidR="007E4C07">
              <w:rPr>
                <w:b/>
              </w:rPr>
              <w:t>2</w:t>
            </w:r>
            <w:r w:rsidRPr="00B730C7">
              <w:rPr>
                <w:b/>
              </w:rPr>
              <w:t>/1</w:t>
            </w:r>
            <w:r w:rsidR="007528A6">
              <w:rPr>
                <w:b/>
              </w:rPr>
              <w:t>5</w:t>
            </w:r>
          </w:p>
          <w:p w:rsidR="00196F45" w:rsidRDefault="00196F45" w:rsidP="00351A9D">
            <w:pPr>
              <w:spacing w:after="0" w:line="240" w:lineRule="auto"/>
            </w:pPr>
            <w:r>
              <w:t>Heure </w:t>
            </w:r>
            <w:r w:rsidR="005A60F2">
              <w:t>:</w:t>
            </w:r>
            <w:r w:rsidR="005A60F2">
              <w:rPr>
                <w:sz w:val="20"/>
              </w:rPr>
              <w:t xml:space="preserve"> 14h30</w:t>
            </w:r>
            <w:r>
              <w:rPr>
                <w:sz w:val="20"/>
              </w:rPr>
              <w:t>-</w:t>
            </w:r>
            <w:r w:rsidR="007528A6">
              <w:rPr>
                <w:sz w:val="20"/>
              </w:rPr>
              <w:t>16</w:t>
            </w:r>
            <w:r>
              <w:rPr>
                <w:sz w:val="20"/>
              </w:rPr>
              <w:t>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5" w:rsidRDefault="00196F45" w:rsidP="00E4337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COMPTE RENDU DE REUNION DE COORDINATION </w:t>
            </w:r>
            <w:r w:rsidR="007759C7">
              <w:rPr>
                <w:b/>
                <w:sz w:val="28"/>
                <w:szCs w:val="28"/>
              </w:rPr>
              <w:t>EBOLA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5" w:rsidRDefault="00196F45" w:rsidP="00E4337D">
            <w:pPr>
              <w:spacing w:after="0" w:line="240" w:lineRule="auto"/>
            </w:pPr>
            <w:r>
              <w:rPr>
                <w:b/>
              </w:rPr>
              <w:t>Lieu :</w:t>
            </w:r>
            <w:r>
              <w:rPr>
                <w:sz w:val="20"/>
              </w:rPr>
              <w:t xml:space="preserve"> Salle </w:t>
            </w:r>
            <w:r w:rsidR="007759C7">
              <w:rPr>
                <w:sz w:val="20"/>
              </w:rPr>
              <w:t>Grande salle de réunion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45" w:rsidRDefault="00196F45" w:rsidP="00E4337D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Participants :</w:t>
            </w:r>
          </w:p>
          <w:p w:rsidR="00D565D2" w:rsidRDefault="00B20D8E" w:rsidP="00E4337D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Voir liste ci-jointe</w:t>
            </w:r>
          </w:p>
          <w:p w:rsidR="00FF3F7C" w:rsidRDefault="00FF3F7C" w:rsidP="00E4337D">
            <w:pPr>
              <w:spacing w:after="0" w:line="240" w:lineRule="auto"/>
              <w:rPr>
                <w:b/>
                <w:sz w:val="16"/>
              </w:rPr>
            </w:pPr>
          </w:p>
          <w:p w:rsidR="00FF3F7C" w:rsidRDefault="00FF3F7C" w:rsidP="00E4337D">
            <w:pPr>
              <w:spacing w:after="0" w:line="240" w:lineRule="auto"/>
              <w:rPr>
                <w:b/>
                <w:sz w:val="16"/>
              </w:rPr>
            </w:pPr>
          </w:p>
          <w:p w:rsidR="00F8595F" w:rsidRDefault="00F8595F" w:rsidP="00E4337D">
            <w:pPr>
              <w:spacing w:after="0" w:line="240" w:lineRule="auto"/>
              <w:rPr>
                <w:b/>
                <w:sz w:val="16"/>
              </w:rPr>
            </w:pPr>
          </w:p>
          <w:p w:rsidR="00196F45" w:rsidRDefault="00196F45" w:rsidP="00E4337D">
            <w:pPr>
              <w:spacing w:after="0" w:line="240" w:lineRule="auto"/>
              <w:rPr>
                <w:b/>
                <w:sz w:val="16"/>
              </w:rPr>
            </w:pPr>
          </w:p>
          <w:p w:rsidR="00196F45" w:rsidRDefault="00196F45" w:rsidP="00E4337D">
            <w:pPr>
              <w:pStyle w:val="Paragraphedeliste"/>
              <w:ind w:left="360"/>
              <w:rPr>
                <w:sz w:val="16"/>
              </w:rPr>
            </w:pPr>
          </w:p>
          <w:p w:rsidR="00196F45" w:rsidRDefault="00196F45" w:rsidP="00E4337D">
            <w:pPr>
              <w:pStyle w:val="Paragraphedeliste"/>
              <w:rPr>
                <w:sz w:val="16"/>
              </w:rPr>
            </w:pPr>
          </w:p>
          <w:p w:rsidR="00196F45" w:rsidRDefault="00196F45" w:rsidP="00E4337D">
            <w:pPr>
              <w:rPr>
                <w:sz w:val="16"/>
              </w:rPr>
            </w:pPr>
          </w:p>
        </w:tc>
      </w:tr>
      <w:tr w:rsidR="0099669E" w:rsidTr="00B93646">
        <w:trPr>
          <w:trHeight w:hRule="exact" w:val="10"/>
        </w:trPr>
        <w:tc>
          <w:tcPr>
            <w:tcW w:w="1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9E" w:rsidRDefault="0099669E" w:rsidP="00E4337D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Agenda</w:t>
            </w:r>
            <w:r>
              <w:rPr>
                <w:b/>
              </w:rPr>
              <w:t> :</w:t>
            </w:r>
          </w:p>
          <w:p w:rsidR="0099669E" w:rsidRDefault="0099669E" w:rsidP="0037473B">
            <w:pPr>
              <w:pStyle w:val="Paragraphedeliste"/>
              <w:ind w:left="0"/>
              <w:rPr>
                <w:b/>
              </w:rPr>
            </w:pPr>
          </w:p>
          <w:p w:rsidR="0099669E" w:rsidRPr="00D565D2" w:rsidRDefault="0099669E" w:rsidP="00763DA4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565D2">
              <w:rPr>
                <w:b/>
              </w:rPr>
              <w:t>Surveillance épidémiologique et laboratoire</w:t>
            </w:r>
          </w:p>
          <w:p w:rsidR="0099669E" w:rsidRDefault="0099669E" w:rsidP="00763DA4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Prévention et contrôle de l’infection</w:t>
            </w:r>
          </w:p>
          <w:p w:rsidR="0099669E" w:rsidRPr="00D565D2" w:rsidRDefault="0099669E" w:rsidP="00763DA4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Prise en charge clinique</w:t>
            </w:r>
          </w:p>
          <w:p w:rsidR="0099669E" w:rsidRPr="00714419" w:rsidRDefault="0099669E" w:rsidP="00763DA4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565D2">
              <w:rPr>
                <w:b/>
              </w:rPr>
              <w:t>Communication et mobilisation sociale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9E" w:rsidRDefault="0099669E" w:rsidP="00E4337D">
            <w:pPr>
              <w:spacing w:after="0" w:line="240" w:lineRule="auto"/>
              <w:rPr>
                <w:sz w:val="16"/>
              </w:rPr>
            </w:pPr>
          </w:p>
        </w:tc>
      </w:tr>
      <w:tr w:rsidR="006A3024" w:rsidTr="007528A6">
        <w:trPr>
          <w:trHeight w:val="1485"/>
        </w:trPr>
        <w:tc>
          <w:tcPr>
            <w:tcW w:w="16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24" w:rsidRPr="00205F93" w:rsidRDefault="00205F93" w:rsidP="0016611D">
            <w:pPr>
              <w:pStyle w:val="Paragraphedeliste"/>
              <w:ind w:left="360"/>
              <w:rPr>
                <w:b/>
              </w:rPr>
            </w:pPr>
            <w:r w:rsidRPr="00205F93">
              <w:rPr>
                <w:b/>
              </w:rPr>
              <w:t>Agenda :</w:t>
            </w:r>
          </w:p>
          <w:p w:rsidR="007528A6" w:rsidRPr="007528A6" w:rsidRDefault="003B2C19" w:rsidP="007528A6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Présentation </w:t>
            </w:r>
            <w:r w:rsidR="007E4C07">
              <w:rPr>
                <w:b/>
              </w:rPr>
              <w:t xml:space="preserve"> sur le vécu et la réin</w:t>
            </w:r>
            <w:r w:rsidR="00F02E99">
              <w:rPr>
                <w:b/>
              </w:rPr>
              <w:t xml:space="preserve">sertion des élèves contacts en </w:t>
            </w:r>
            <w:r w:rsidR="007E4C07">
              <w:rPr>
                <w:b/>
              </w:rPr>
              <w:t xml:space="preserve"> milieu scolaire</w:t>
            </w:r>
          </w:p>
          <w:p w:rsidR="005B6605" w:rsidRPr="007E4C07" w:rsidRDefault="00F02E99" w:rsidP="007E4C07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bCs/>
              </w:rPr>
              <w:t xml:space="preserve">Présentation  de la </w:t>
            </w:r>
            <w:r w:rsidR="007E4C07">
              <w:rPr>
                <w:b/>
                <w:bCs/>
              </w:rPr>
              <w:t>Cartographie des intervenants dans la lutte contre la MVE au Mali</w:t>
            </w:r>
          </w:p>
          <w:p w:rsidR="006A3024" w:rsidRPr="007528A6" w:rsidRDefault="007528A6" w:rsidP="00205F93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 w:rsidRPr="007528A6">
              <w:rPr>
                <w:b/>
                <w:bCs/>
              </w:rPr>
              <w:t>Divers  </w:t>
            </w:r>
          </w:p>
        </w:tc>
      </w:tr>
      <w:tr w:rsidR="00751E50" w:rsidTr="00751E50">
        <w:trPr>
          <w:trHeight w:val="697"/>
        </w:trPr>
        <w:tc>
          <w:tcPr>
            <w:tcW w:w="16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E50" w:rsidRPr="00751E50" w:rsidRDefault="00751E50" w:rsidP="00751E50">
            <w:pPr>
              <w:tabs>
                <w:tab w:val="left" w:pos="1050"/>
              </w:tabs>
              <w:rPr>
                <w:lang w:eastAsia="fr-FR"/>
              </w:rPr>
            </w:pPr>
            <w:r>
              <w:rPr>
                <w:b/>
                <w:lang w:eastAsia="fr-FR"/>
              </w:rPr>
              <w:t xml:space="preserve">Introduction : </w:t>
            </w:r>
            <w:r>
              <w:rPr>
                <w:lang w:eastAsia="fr-FR"/>
              </w:rPr>
              <w:t>la réunion a commencé à 14h35mn par les mots de bienvenue du Coordinateur. Après la présentation des nouveaux venus  qui étaient au nombre de 5, l’ordre du jour de la réunion a été adopté.</w:t>
            </w:r>
          </w:p>
        </w:tc>
      </w:tr>
      <w:tr w:rsidR="006A3024" w:rsidTr="006F4C71">
        <w:trPr>
          <w:trHeight w:val="2273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15" w:rsidRDefault="001166E2" w:rsidP="00205F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3B31A0">
              <w:rPr>
                <w:b/>
                <w:bCs/>
              </w:rPr>
              <w:t>Présentatio</w:t>
            </w:r>
            <w:r w:rsidR="007E4C07">
              <w:rPr>
                <w:b/>
                <w:bCs/>
              </w:rPr>
              <w:t>n su</w:t>
            </w:r>
            <w:r w:rsidR="00D55A5E">
              <w:rPr>
                <w:b/>
                <w:bCs/>
              </w:rPr>
              <w:t>r le vécu et la</w:t>
            </w:r>
            <w:r w:rsidR="007E4C07">
              <w:rPr>
                <w:b/>
                <w:bCs/>
              </w:rPr>
              <w:t xml:space="preserve"> réinsertion des </w:t>
            </w:r>
            <w:r w:rsidR="00751E50">
              <w:rPr>
                <w:b/>
                <w:bCs/>
              </w:rPr>
              <w:t xml:space="preserve">élèves contacts dans le milieu </w:t>
            </w:r>
            <w:r w:rsidR="007E4C07">
              <w:rPr>
                <w:b/>
                <w:bCs/>
              </w:rPr>
              <w:t>scolaire</w:t>
            </w:r>
          </w:p>
          <w:p w:rsidR="00205F93" w:rsidRDefault="00205F93" w:rsidP="00205F93">
            <w:pPr>
              <w:rPr>
                <w:b/>
                <w:bCs/>
              </w:rPr>
            </w:pPr>
          </w:p>
          <w:p w:rsidR="006A3024" w:rsidRPr="006A3024" w:rsidRDefault="006A3024" w:rsidP="007E4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A0" w:rsidRDefault="00D55A5E" w:rsidP="00AD20EF">
            <w:pPr>
              <w:spacing w:after="0"/>
            </w:pPr>
            <w:r>
              <w:t xml:space="preserve">La présentation a porté sur les résultats préliminaires d’une étude menée en milieu scolaire dans le cadre de la </w:t>
            </w:r>
            <w:r w:rsidR="00CF7F6C">
              <w:t xml:space="preserve">réinsertion des élèves contacts, suite à l’épidémie de la </w:t>
            </w:r>
            <w:r>
              <w:t>MVE</w:t>
            </w:r>
            <w:r w:rsidR="00CF7F6C">
              <w:t xml:space="preserve"> au Mali. Ce</w:t>
            </w:r>
            <w:r w:rsidR="008613A6">
              <w:t>tte couche sensible de la population continue à être stigmatisée après leur sortie de la période de contact. Il s’agit des élèves ou parents d’élève</w:t>
            </w:r>
            <w:r w:rsidR="00AD20EF">
              <w:t>s qui étaient considérés comme contact. A l’issue de la présentation, quelques points saillants méritent d’être évoqués :</w:t>
            </w:r>
          </w:p>
          <w:p w:rsidR="00AD20EF" w:rsidRDefault="003D6648" w:rsidP="003D6648">
            <w:pPr>
              <w:pStyle w:val="Paragraphedeliste"/>
              <w:numPr>
                <w:ilvl w:val="0"/>
                <w:numId w:val="17"/>
              </w:numPr>
            </w:pPr>
            <w:r>
              <w:t>L</w:t>
            </w:r>
            <w:r w:rsidR="00AD20EF">
              <w:t xml:space="preserve">es autorités bien avant le premier cas, avaient pris des dispositions pour prévenir et au cas échéant gérer la maladie. </w:t>
            </w:r>
          </w:p>
          <w:p w:rsidR="00AD20EF" w:rsidRDefault="003D6648" w:rsidP="003D6648">
            <w:pPr>
              <w:pStyle w:val="Paragraphedeliste"/>
              <w:numPr>
                <w:ilvl w:val="0"/>
                <w:numId w:val="17"/>
              </w:numPr>
            </w:pPr>
            <w:r>
              <w:t>L</w:t>
            </w:r>
            <w:r w:rsidR="00AD20EF">
              <w:t>a négligence de certaines personnes</w:t>
            </w:r>
            <w:r>
              <w:t xml:space="preserve"> a fait que</w:t>
            </w:r>
            <w:r w:rsidR="00AD20EF">
              <w:t xml:space="preserve"> la MVE n’a pas pu être évitée.</w:t>
            </w:r>
          </w:p>
          <w:p w:rsidR="00AD20EF" w:rsidRDefault="003D6648" w:rsidP="003D6648">
            <w:pPr>
              <w:pStyle w:val="Paragraphedeliste"/>
              <w:numPr>
                <w:ilvl w:val="0"/>
                <w:numId w:val="17"/>
              </w:numPr>
            </w:pPr>
            <w:r>
              <w:t>L</w:t>
            </w:r>
            <w:r w:rsidR="00AD20EF">
              <w:t>es élèves victimes de la maladie ont vécu différemment la période de suivi.</w:t>
            </w:r>
          </w:p>
          <w:p w:rsidR="003D6648" w:rsidRDefault="003D6648" w:rsidP="003D6648">
            <w:pPr>
              <w:pStyle w:val="Paragraphedeliste"/>
              <w:numPr>
                <w:ilvl w:val="0"/>
                <w:numId w:val="17"/>
              </w:numPr>
            </w:pPr>
            <w:r>
              <w:t>L</w:t>
            </w:r>
            <w:r w:rsidR="00AD20EF">
              <w:t xml:space="preserve">’atmosphère de retour dans les établissements  n’a pas été la même chez tous les élèves concernés. </w:t>
            </w:r>
          </w:p>
          <w:p w:rsidR="00AD20EF" w:rsidRDefault="003D6648" w:rsidP="003D6648">
            <w:pPr>
              <w:pStyle w:val="Paragraphedeliste"/>
              <w:numPr>
                <w:ilvl w:val="0"/>
                <w:numId w:val="17"/>
              </w:numPr>
            </w:pPr>
            <w:r>
              <w:t>L</w:t>
            </w:r>
            <w:r w:rsidR="00AD20EF">
              <w:t>’ignorance et la désinformation sont à la base de la stigmatisation.</w:t>
            </w:r>
          </w:p>
          <w:p w:rsidR="003D6648" w:rsidRDefault="003D6648" w:rsidP="003D6648">
            <w:pPr>
              <w:rPr>
                <w:u w:val="single"/>
              </w:rPr>
            </w:pPr>
            <w:r w:rsidRPr="003D6648">
              <w:rPr>
                <w:u w:val="single"/>
              </w:rPr>
              <w:t>Questions et commentaires :</w:t>
            </w:r>
          </w:p>
          <w:p w:rsidR="003D6648" w:rsidRDefault="003D6648" w:rsidP="00337733">
            <w:r>
              <w:t>Une présentation riche et enrichissante estiment les uns et les autres, ce qui a amené à un certain nombre de questionnement à savoir :</w:t>
            </w:r>
          </w:p>
          <w:p w:rsidR="003D6648" w:rsidRDefault="003D6648" w:rsidP="00337733">
            <w:pPr>
              <w:pStyle w:val="Paragraphedeliste"/>
              <w:numPr>
                <w:ilvl w:val="0"/>
                <w:numId w:val="18"/>
              </w:numPr>
              <w:ind w:left="360"/>
            </w:pPr>
            <w:r>
              <w:t xml:space="preserve">Le type de message </w:t>
            </w:r>
            <w:r w:rsidR="005F0AEA">
              <w:t xml:space="preserve">clé apporté </w:t>
            </w:r>
            <w:r>
              <w:t>afin de taire les rumeurs,</w:t>
            </w:r>
          </w:p>
          <w:p w:rsidR="005F0AEA" w:rsidRDefault="005F0AEA" w:rsidP="00337733">
            <w:pPr>
              <w:pStyle w:val="Paragraphedeliste"/>
              <w:numPr>
                <w:ilvl w:val="0"/>
                <w:numId w:val="18"/>
              </w:numPr>
              <w:ind w:left="360"/>
            </w:pPr>
            <w:r>
              <w:t xml:space="preserve">Faire une étude comparée avec d’autres pays en situation d’épidémie </w:t>
            </w:r>
            <w:r w:rsidR="00337733">
              <w:t>pour</w:t>
            </w:r>
            <w:r w:rsidR="002B347E">
              <w:t xml:space="preserve"> comparer les résultats</w:t>
            </w:r>
            <w:r w:rsidR="00337733">
              <w:t>,</w:t>
            </w:r>
          </w:p>
          <w:p w:rsidR="00337733" w:rsidRDefault="00337733" w:rsidP="00337733">
            <w:pPr>
              <w:pStyle w:val="Paragraphedeliste"/>
              <w:numPr>
                <w:ilvl w:val="0"/>
                <w:numId w:val="18"/>
              </w:numPr>
              <w:ind w:left="360"/>
            </w:pPr>
            <w:r>
              <w:t>L’existence de la notion d’hygiène de base dans les écoles</w:t>
            </w:r>
          </w:p>
          <w:p w:rsidR="00AD20EF" w:rsidRPr="002B347E" w:rsidRDefault="002B347E" w:rsidP="002B347E">
            <w:pPr>
              <w:rPr>
                <w:b/>
              </w:rPr>
            </w:pPr>
            <w:r w:rsidRPr="002B347E">
              <w:rPr>
                <w:b/>
              </w:rPr>
              <w:t>NB : (voir présentation pour plus de détail)</w:t>
            </w:r>
          </w:p>
        </w:tc>
      </w:tr>
      <w:tr w:rsidR="00112CD6" w:rsidTr="00BF6014">
        <w:trPr>
          <w:trHeight w:val="2536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D6" w:rsidRPr="002B347E" w:rsidRDefault="00112CD6" w:rsidP="002B347E">
            <w:pPr>
              <w:rPr>
                <w:b/>
              </w:rPr>
            </w:pPr>
            <w:r w:rsidRPr="002B347E">
              <w:rPr>
                <w:b/>
              </w:rPr>
              <w:t xml:space="preserve">2. </w:t>
            </w:r>
            <w:r w:rsidR="002B347E" w:rsidRPr="002B347E">
              <w:rPr>
                <w:b/>
                <w:bCs/>
              </w:rPr>
              <w:t xml:space="preserve"> Cartographie des intervenants dans la lutte contre la MVE au Mali </w:t>
            </w: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D6" w:rsidRDefault="00DD602E" w:rsidP="00EA3701">
            <w:pPr>
              <w:spacing w:after="0"/>
            </w:pPr>
            <w:r>
              <w:t xml:space="preserve">Dans le cadre de la réponse à la MVE, plusieurs intervenants apportent leurs appuis dans différents districts sanitaires et d’autres dans les mêmes districts. C’est dans ce contexte qu’en vue d’une meilleure harmonisation et une meilleure occupation du </w:t>
            </w:r>
            <w:r w:rsidR="008B58AF">
              <w:t>territoire</w:t>
            </w:r>
            <w:r>
              <w:t xml:space="preserve"> par les inter</w:t>
            </w:r>
            <w:r w:rsidR="008B58AF">
              <w:t>venants, qu’il a été décidé de réaliser une cartographie qui répond aux questionnements suivants : qui fait quoi ? quand ? Où ? En vue d’atteindre ce résultat, un questionnaire avait été envoyé à tous les intervenants pour renseignement. Le résultat est le suivant :</w:t>
            </w:r>
          </w:p>
          <w:p w:rsidR="00122F22" w:rsidRDefault="00122F22" w:rsidP="00EA3701">
            <w:pPr>
              <w:pStyle w:val="Paragraphedeliste"/>
              <w:numPr>
                <w:ilvl w:val="0"/>
                <w:numId w:val="19"/>
              </w:numPr>
            </w:pPr>
            <w:r>
              <w:t>Les partenaires ont été répartis en 4 secteurs d’activités : (</w:t>
            </w:r>
            <w:r w:rsidR="00EA3701">
              <w:t>surveillance, communication et mobilisation sociale, hygiène et assainissement et contrôle de l’infection)</w:t>
            </w:r>
          </w:p>
          <w:p w:rsidR="008B58AF" w:rsidRDefault="008B58AF" w:rsidP="00EA3701">
            <w:pPr>
              <w:pStyle w:val="Paragraphedeliste"/>
              <w:numPr>
                <w:ilvl w:val="0"/>
                <w:numId w:val="19"/>
              </w:numPr>
            </w:pPr>
            <w:r>
              <w:t>La plus part des intervenants exercent dans le domaine de la communication et de la mobilisation sociale</w:t>
            </w:r>
            <w:r w:rsidR="00122F22">
              <w:t xml:space="preserve">, ensuite vient la surveillance, l’hygiène </w:t>
            </w:r>
            <w:r w:rsidR="00F02E99">
              <w:t>et</w:t>
            </w:r>
            <w:r w:rsidR="00122F22">
              <w:t xml:space="preserve"> l’assainissement puis le contrôle de l’infection.</w:t>
            </w:r>
          </w:p>
          <w:p w:rsidR="00122F22" w:rsidRPr="00C47224" w:rsidRDefault="00122F22" w:rsidP="00F02E99">
            <w:pPr>
              <w:pStyle w:val="Paragraphedeliste"/>
              <w:numPr>
                <w:ilvl w:val="0"/>
                <w:numId w:val="19"/>
              </w:numPr>
            </w:pPr>
            <w:r>
              <w:t xml:space="preserve">L’OMS et </w:t>
            </w:r>
            <w:r w:rsidR="00EA3701">
              <w:t>l’UNFPA</w:t>
            </w:r>
            <w:r>
              <w:t xml:space="preserve"> occupent le terrain d</w:t>
            </w:r>
            <w:r w:rsidR="00F02E99">
              <w:t>ans le domaine de</w:t>
            </w:r>
            <w:r>
              <w:t xml:space="preserve"> la surveillance à plus de 90%, cela grâce à un recrutement effectué dans ce domaine par les deux Agences</w:t>
            </w:r>
          </w:p>
        </w:tc>
      </w:tr>
      <w:tr w:rsidR="00BF6014" w:rsidTr="00940235">
        <w:trPr>
          <w:trHeight w:val="1119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4" w:rsidRDefault="00BF6014" w:rsidP="00EA3701">
            <w:pPr>
              <w:rPr>
                <w:b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4" w:rsidRPr="00BF1BAD" w:rsidRDefault="00EA3701" w:rsidP="00A17F8F">
            <w:pPr>
              <w:spacing w:after="0"/>
            </w:pPr>
            <w:r w:rsidRPr="00EA3701">
              <w:rPr>
                <w:u w:val="single"/>
              </w:rPr>
              <w:t>Questions et commentaires :</w:t>
            </w:r>
            <w:r w:rsidR="00BF1BAD">
              <w:t xml:space="preserve"> ont porté sur :</w:t>
            </w:r>
          </w:p>
          <w:p w:rsidR="00EA3701" w:rsidRDefault="00BF1BAD" w:rsidP="005872B3">
            <w:pPr>
              <w:pStyle w:val="Paragraphedeliste"/>
              <w:numPr>
                <w:ilvl w:val="0"/>
                <w:numId w:val="20"/>
              </w:numPr>
            </w:pPr>
            <w:r>
              <w:t xml:space="preserve">La </w:t>
            </w:r>
            <w:r w:rsidR="00EA3701">
              <w:t>Nature des intervenants sur le terrain, (nationaux ou internationaux) ?</w:t>
            </w:r>
          </w:p>
          <w:p w:rsidR="00EA3701" w:rsidRDefault="00BF1BAD" w:rsidP="005872B3">
            <w:pPr>
              <w:pStyle w:val="Paragraphedeliste"/>
              <w:numPr>
                <w:ilvl w:val="0"/>
                <w:numId w:val="20"/>
              </w:numPr>
            </w:pPr>
            <w:r>
              <w:t xml:space="preserve">Les </w:t>
            </w:r>
            <w:r w:rsidR="00EA3701">
              <w:t>Difficultés rencontrées par les intervenants sur le terrain ?</w:t>
            </w:r>
          </w:p>
          <w:p w:rsidR="00EA3701" w:rsidRDefault="00EA3701" w:rsidP="005872B3">
            <w:pPr>
              <w:pStyle w:val="Paragraphedeliste"/>
              <w:numPr>
                <w:ilvl w:val="0"/>
                <w:numId w:val="20"/>
              </w:numPr>
            </w:pPr>
            <w:r>
              <w:t>La non prise en compte des activités de certains intervenants dans la cartographie.</w:t>
            </w:r>
          </w:p>
          <w:p w:rsidR="00B939A2" w:rsidRDefault="00B939A2" w:rsidP="005872B3">
            <w:pPr>
              <w:pStyle w:val="Paragraphedeliste"/>
              <w:numPr>
                <w:ilvl w:val="0"/>
                <w:numId w:val="20"/>
              </w:numPr>
            </w:pPr>
            <w:r>
              <w:t xml:space="preserve">Le processus de validation de la cartographie et la périodicité </w:t>
            </w:r>
            <w:r w:rsidR="00A17F8F">
              <w:t>des événements</w:t>
            </w:r>
            <w:r>
              <w:t xml:space="preserve"> à rapporter</w:t>
            </w:r>
          </w:p>
          <w:p w:rsidR="00A17F8F" w:rsidRPr="00BF1BAD" w:rsidRDefault="00A17F8F" w:rsidP="005872B3">
            <w:pPr>
              <w:tabs>
                <w:tab w:val="center" w:pos="6696"/>
              </w:tabs>
              <w:spacing w:after="0"/>
            </w:pPr>
            <w:r w:rsidRPr="00A17F8F">
              <w:rPr>
                <w:u w:val="single"/>
              </w:rPr>
              <w:t>Recommandations</w:t>
            </w:r>
            <w:r w:rsidR="00BF1BAD">
              <w:rPr>
                <w:u w:val="single"/>
              </w:rPr>
              <w:t> :</w:t>
            </w:r>
            <w:r w:rsidR="00BF1BAD">
              <w:t xml:space="preserve"> Il s’agit de :</w:t>
            </w:r>
          </w:p>
          <w:p w:rsidR="00A17F8F" w:rsidRDefault="00A17F8F" w:rsidP="005872B3">
            <w:pPr>
              <w:pStyle w:val="Paragraphedeliste"/>
              <w:numPr>
                <w:ilvl w:val="0"/>
                <w:numId w:val="21"/>
              </w:numPr>
            </w:pPr>
            <w:r>
              <w:t>Finaliser la cartographie en incluant les activités les partenaires omis</w:t>
            </w:r>
          </w:p>
          <w:p w:rsidR="00A17F8F" w:rsidRPr="00EA3701" w:rsidRDefault="00A17F8F" w:rsidP="005872B3">
            <w:pPr>
              <w:pStyle w:val="Paragraphedeliste"/>
              <w:numPr>
                <w:ilvl w:val="0"/>
                <w:numId w:val="21"/>
              </w:numPr>
            </w:pPr>
            <w:r>
              <w:t>Assurer la dissémination de la cartographie après sa finalisation</w:t>
            </w:r>
          </w:p>
        </w:tc>
      </w:tr>
      <w:tr w:rsidR="00241C8C" w:rsidTr="00C3204D">
        <w:trPr>
          <w:trHeight w:val="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8C" w:rsidRPr="00AA3015" w:rsidRDefault="00241C8C" w:rsidP="0057658A">
            <w:pPr>
              <w:pStyle w:val="Paragraphedeliste"/>
              <w:ind w:left="360"/>
              <w:rPr>
                <w:b/>
                <w:sz w:val="20"/>
                <w:szCs w:val="20"/>
              </w:rPr>
            </w:pPr>
          </w:p>
          <w:p w:rsidR="00241C8C" w:rsidRPr="00112CD6" w:rsidRDefault="00A17F8F" w:rsidP="00A17F8F">
            <w:pPr>
              <w:rPr>
                <w:b/>
              </w:rPr>
            </w:pPr>
            <w:r>
              <w:rPr>
                <w:b/>
              </w:rPr>
              <w:t>3  Divers</w:t>
            </w: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05" w:rsidRDefault="005872B3" w:rsidP="005B6605">
            <w:pPr>
              <w:spacing w:after="0"/>
            </w:pPr>
            <w:r>
              <w:t>La réunion a été informée sur les points suivants :</w:t>
            </w:r>
          </w:p>
          <w:p w:rsidR="005872B3" w:rsidRDefault="005872B3" w:rsidP="00BF1BAD">
            <w:pPr>
              <w:pStyle w:val="Paragraphedeliste"/>
              <w:numPr>
                <w:ilvl w:val="0"/>
                <w:numId w:val="22"/>
              </w:numPr>
            </w:pPr>
            <w:r>
              <w:t xml:space="preserve">Le plan de réponse révisé contre la MVE : il est disponible, attend d’être validé par le gouvernement avant dissémination </w:t>
            </w:r>
          </w:p>
          <w:p w:rsidR="005872B3" w:rsidRDefault="005872B3" w:rsidP="00BF1BAD">
            <w:pPr>
              <w:pStyle w:val="Paragraphedeliste"/>
              <w:numPr>
                <w:ilvl w:val="0"/>
                <w:numId w:val="22"/>
              </w:numPr>
            </w:pPr>
            <w:r>
              <w:t>Du 18 au 24 février 2015, une mission d’évaluation  OMS/CDC est attendue en vue de l’évaluation des activités sur la MVE</w:t>
            </w:r>
          </w:p>
          <w:p w:rsidR="005872B3" w:rsidRDefault="005872B3" w:rsidP="00BF1BAD">
            <w:pPr>
              <w:pStyle w:val="Paragraphedeliste"/>
              <w:numPr>
                <w:ilvl w:val="0"/>
                <w:numId w:val="22"/>
              </w:numPr>
            </w:pPr>
            <w:r>
              <w:t>Le 19 février se tiendra une réunion frontalière à Siguiri</w:t>
            </w:r>
          </w:p>
          <w:p w:rsidR="005872B3" w:rsidRDefault="005872B3" w:rsidP="00BF1BAD">
            <w:pPr>
              <w:pStyle w:val="Paragraphedeliste"/>
              <w:numPr>
                <w:ilvl w:val="0"/>
                <w:numId w:val="22"/>
              </w:numPr>
            </w:pPr>
            <w:r>
              <w:t>25</w:t>
            </w:r>
            <w:r w:rsidR="00796A64">
              <w:t xml:space="preserve"> février 2015, se tiendra une réunion transfrontalière à Labé (Mali-Guinée-Sénégal). Le but est de voir comment renforcer la surveillance au niveau des frontières</w:t>
            </w:r>
            <w:bookmarkStart w:id="0" w:name="_GoBack"/>
            <w:bookmarkEnd w:id="0"/>
          </w:p>
          <w:p w:rsidR="00796A64" w:rsidRPr="000F7DA6" w:rsidRDefault="00796A64" w:rsidP="00BF1BAD">
            <w:pPr>
              <w:pStyle w:val="Paragraphedeliste"/>
              <w:numPr>
                <w:ilvl w:val="0"/>
                <w:numId w:val="22"/>
              </w:numPr>
            </w:pPr>
            <w:r>
              <w:t>Début des activités de supervision des hygiénistes dans la région de Kayes</w:t>
            </w:r>
          </w:p>
        </w:tc>
      </w:tr>
    </w:tbl>
    <w:p w:rsidR="003D4D2C" w:rsidRDefault="003D4D2C" w:rsidP="00796A64">
      <w:pPr>
        <w:pStyle w:val="Paragraphedeliste"/>
      </w:pPr>
    </w:p>
    <w:sectPr w:rsidR="003D4D2C" w:rsidSect="00B93646">
      <w:pgSz w:w="16838" w:h="11906" w:orient="landscape"/>
      <w:pgMar w:top="567" w:right="794" w:bottom="24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3F6" w:rsidRDefault="003B13F6" w:rsidP="0059187B">
      <w:pPr>
        <w:spacing w:after="0" w:line="240" w:lineRule="auto"/>
      </w:pPr>
      <w:r>
        <w:separator/>
      </w:r>
    </w:p>
  </w:endnote>
  <w:endnote w:type="continuationSeparator" w:id="1">
    <w:p w:rsidR="003B13F6" w:rsidRDefault="003B13F6" w:rsidP="0059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3F6" w:rsidRDefault="003B13F6" w:rsidP="0059187B">
      <w:pPr>
        <w:spacing w:after="0" w:line="240" w:lineRule="auto"/>
      </w:pPr>
      <w:r>
        <w:separator/>
      </w:r>
    </w:p>
  </w:footnote>
  <w:footnote w:type="continuationSeparator" w:id="1">
    <w:p w:rsidR="003B13F6" w:rsidRDefault="003B13F6" w:rsidP="0059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B25"/>
    <w:multiLevelType w:val="hybridMultilevel"/>
    <w:tmpl w:val="891C71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242622"/>
    <w:multiLevelType w:val="hybridMultilevel"/>
    <w:tmpl w:val="27E25952"/>
    <w:lvl w:ilvl="0" w:tplc="3110A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462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622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FE6B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F06B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01C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E2A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02C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02E4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C1212C"/>
    <w:multiLevelType w:val="hybridMultilevel"/>
    <w:tmpl w:val="4EEADA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122AB6"/>
    <w:multiLevelType w:val="hybridMultilevel"/>
    <w:tmpl w:val="908CB616"/>
    <w:lvl w:ilvl="0" w:tplc="E8105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2803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1BCD1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6BCE8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E1694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16068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36A3B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AFE15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78F5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172340BA"/>
    <w:multiLevelType w:val="hybridMultilevel"/>
    <w:tmpl w:val="AAF29CBA"/>
    <w:lvl w:ilvl="0" w:tplc="9E1CFE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52469"/>
    <w:multiLevelType w:val="hybridMultilevel"/>
    <w:tmpl w:val="2E42F39C"/>
    <w:lvl w:ilvl="0" w:tplc="2DE07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A9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EA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C1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EE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A6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81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6B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E0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F8422C"/>
    <w:multiLevelType w:val="hybridMultilevel"/>
    <w:tmpl w:val="18DC14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38446A"/>
    <w:multiLevelType w:val="hybridMultilevel"/>
    <w:tmpl w:val="9D64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96142"/>
    <w:multiLevelType w:val="hybridMultilevel"/>
    <w:tmpl w:val="BF0E00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662CA6"/>
    <w:multiLevelType w:val="hybridMultilevel"/>
    <w:tmpl w:val="CBDEA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63527"/>
    <w:multiLevelType w:val="hybridMultilevel"/>
    <w:tmpl w:val="C1E878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AD71D7"/>
    <w:multiLevelType w:val="hybridMultilevel"/>
    <w:tmpl w:val="1354D0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BE188F"/>
    <w:multiLevelType w:val="hybridMultilevel"/>
    <w:tmpl w:val="C2D4B5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FA6AA8"/>
    <w:multiLevelType w:val="hybridMultilevel"/>
    <w:tmpl w:val="D0EA4B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230EB9"/>
    <w:multiLevelType w:val="hybridMultilevel"/>
    <w:tmpl w:val="EA36AD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542316"/>
    <w:multiLevelType w:val="hybridMultilevel"/>
    <w:tmpl w:val="96A254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8E39C6"/>
    <w:multiLevelType w:val="hybridMultilevel"/>
    <w:tmpl w:val="39ACCC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8D7513"/>
    <w:multiLevelType w:val="hybridMultilevel"/>
    <w:tmpl w:val="1CB244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EC5289"/>
    <w:multiLevelType w:val="hybridMultilevel"/>
    <w:tmpl w:val="32E607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6C13BF"/>
    <w:multiLevelType w:val="hybridMultilevel"/>
    <w:tmpl w:val="E7A675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6E0267"/>
    <w:multiLevelType w:val="hybridMultilevel"/>
    <w:tmpl w:val="F022E8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4C6B7D"/>
    <w:multiLevelType w:val="hybridMultilevel"/>
    <w:tmpl w:val="C8F876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20"/>
  </w:num>
  <w:num w:numId="5">
    <w:abstractNumId w:val="16"/>
  </w:num>
  <w:num w:numId="6">
    <w:abstractNumId w:val="18"/>
  </w:num>
  <w:num w:numId="7">
    <w:abstractNumId w:val="12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  <w:num w:numId="13">
    <w:abstractNumId w:val="13"/>
  </w:num>
  <w:num w:numId="14">
    <w:abstractNumId w:val="17"/>
  </w:num>
  <w:num w:numId="15">
    <w:abstractNumId w:val="1"/>
  </w:num>
  <w:num w:numId="16">
    <w:abstractNumId w:val="3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0"/>
  </w:num>
  <w:num w:numId="22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</w:compat>
  <w:rsids>
    <w:rsidRoot w:val="00196F45"/>
    <w:rsid w:val="0002044F"/>
    <w:rsid w:val="000233F8"/>
    <w:rsid w:val="0002571B"/>
    <w:rsid w:val="000302B0"/>
    <w:rsid w:val="00032E38"/>
    <w:rsid w:val="0006403B"/>
    <w:rsid w:val="0007335D"/>
    <w:rsid w:val="00077FB0"/>
    <w:rsid w:val="0008499A"/>
    <w:rsid w:val="00097729"/>
    <w:rsid w:val="000A7520"/>
    <w:rsid w:val="000C4E34"/>
    <w:rsid w:val="000C523F"/>
    <w:rsid w:val="000D1C6D"/>
    <w:rsid w:val="000E432F"/>
    <w:rsid w:val="000F0178"/>
    <w:rsid w:val="000F04FF"/>
    <w:rsid w:val="000F7DA6"/>
    <w:rsid w:val="00110182"/>
    <w:rsid w:val="00112CD6"/>
    <w:rsid w:val="00113368"/>
    <w:rsid w:val="00116228"/>
    <w:rsid w:val="001166E2"/>
    <w:rsid w:val="00120196"/>
    <w:rsid w:val="00122F22"/>
    <w:rsid w:val="001451BD"/>
    <w:rsid w:val="00147EE0"/>
    <w:rsid w:val="00156903"/>
    <w:rsid w:val="0016561A"/>
    <w:rsid w:val="0016611D"/>
    <w:rsid w:val="00173AE4"/>
    <w:rsid w:val="001748BE"/>
    <w:rsid w:val="00187206"/>
    <w:rsid w:val="00196F45"/>
    <w:rsid w:val="00197E80"/>
    <w:rsid w:val="001A27C1"/>
    <w:rsid w:val="001A4692"/>
    <w:rsid w:val="001B1DCF"/>
    <w:rsid w:val="001C0ABA"/>
    <w:rsid w:val="001C7367"/>
    <w:rsid w:val="001D0C78"/>
    <w:rsid w:val="001D136B"/>
    <w:rsid w:val="001E45CF"/>
    <w:rsid w:val="001F44EE"/>
    <w:rsid w:val="001F54AB"/>
    <w:rsid w:val="001F66DE"/>
    <w:rsid w:val="001F764A"/>
    <w:rsid w:val="00203772"/>
    <w:rsid w:val="0020499D"/>
    <w:rsid w:val="00205379"/>
    <w:rsid w:val="00205F93"/>
    <w:rsid w:val="00217ACF"/>
    <w:rsid w:val="00221DB1"/>
    <w:rsid w:val="00241C8C"/>
    <w:rsid w:val="002448A7"/>
    <w:rsid w:val="00245376"/>
    <w:rsid w:val="00262CE4"/>
    <w:rsid w:val="0028224E"/>
    <w:rsid w:val="00283EBD"/>
    <w:rsid w:val="0028531C"/>
    <w:rsid w:val="0029585E"/>
    <w:rsid w:val="00295DDE"/>
    <w:rsid w:val="002A317C"/>
    <w:rsid w:val="002B347E"/>
    <w:rsid w:val="002B6EF3"/>
    <w:rsid w:val="002D42A9"/>
    <w:rsid w:val="0030505B"/>
    <w:rsid w:val="00315A3E"/>
    <w:rsid w:val="00320774"/>
    <w:rsid w:val="00320A63"/>
    <w:rsid w:val="00327815"/>
    <w:rsid w:val="00330C24"/>
    <w:rsid w:val="00337733"/>
    <w:rsid w:val="003377B6"/>
    <w:rsid w:val="0035075C"/>
    <w:rsid w:val="00351A9D"/>
    <w:rsid w:val="00352348"/>
    <w:rsid w:val="00355352"/>
    <w:rsid w:val="0035594E"/>
    <w:rsid w:val="0037473B"/>
    <w:rsid w:val="00375E79"/>
    <w:rsid w:val="003856D5"/>
    <w:rsid w:val="003920F4"/>
    <w:rsid w:val="00392F5A"/>
    <w:rsid w:val="003948D5"/>
    <w:rsid w:val="003A164F"/>
    <w:rsid w:val="003B13F6"/>
    <w:rsid w:val="003B2C19"/>
    <w:rsid w:val="003B31A0"/>
    <w:rsid w:val="003B5AD1"/>
    <w:rsid w:val="003C4430"/>
    <w:rsid w:val="003D34D9"/>
    <w:rsid w:val="003D4D2C"/>
    <w:rsid w:val="003D6648"/>
    <w:rsid w:val="003E7D40"/>
    <w:rsid w:val="003F5633"/>
    <w:rsid w:val="00440679"/>
    <w:rsid w:val="0045411C"/>
    <w:rsid w:val="00454C04"/>
    <w:rsid w:val="0046123A"/>
    <w:rsid w:val="00466EB8"/>
    <w:rsid w:val="0046732A"/>
    <w:rsid w:val="00467452"/>
    <w:rsid w:val="004735AB"/>
    <w:rsid w:val="00475ED6"/>
    <w:rsid w:val="004858D2"/>
    <w:rsid w:val="0049586E"/>
    <w:rsid w:val="004A213D"/>
    <w:rsid w:val="004A5E86"/>
    <w:rsid w:val="004B5C15"/>
    <w:rsid w:val="004B73E3"/>
    <w:rsid w:val="004B7755"/>
    <w:rsid w:val="004C7F6C"/>
    <w:rsid w:val="004D6911"/>
    <w:rsid w:val="004E1EFC"/>
    <w:rsid w:val="004E4DD6"/>
    <w:rsid w:val="004F7AFD"/>
    <w:rsid w:val="00507E35"/>
    <w:rsid w:val="00516D83"/>
    <w:rsid w:val="0052205C"/>
    <w:rsid w:val="00550572"/>
    <w:rsid w:val="0055258F"/>
    <w:rsid w:val="005547AF"/>
    <w:rsid w:val="005575F5"/>
    <w:rsid w:val="0057658A"/>
    <w:rsid w:val="00576B07"/>
    <w:rsid w:val="00582434"/>
    <w:rsid w:val="00583F5C"/>
    <w:rsid w:val="005872B3"/>
    <w:rsid w:val="0059187B"/>
    <w:rsid w:val="005A60F2"/>
    <w:rsid w:val="005A73ED"/>
    <w:rsid w:val="005B6605"/>
    <w:rsid w:val="005D0157"/>
    <w:rsid w:val="005D4F45"/>
    <w:rsid w:val="005D51FF"/>
    <w:rsid w:val="005D6E31"/>
    <w:rsid w:val="005E2841"/>
    <w:rsid w:val="005E6B7D"/>
    <w:rsid w:val="005F0AEA"/>
    <w:rsid w:val="005F4761"/>
    <w:rsid w:val="0061793B"/>
    <w:rsid w:val="00622250"/>
    <w:rsid w:val="006233D2"/>
    <w:rsid w:val="0062530E"/>
    <w:rsid w:val="00654DCB"/>
    <w:rsid w:val="00656843"/>
    <w:rsid w:val="006753AB"/>
    <w:rsid w:val="00682433"/>
    <w:rsid w:val="006874AC"/>
    <w:rsid w:val="00687FA7"/>
    <w:rsid w:val="00690DF5"/>
    <w:rsid w:val="006A070D"/>
    <w:rsid w:val="006A272B"/>
    <w:rsid w:val="006A3024"/>
    <w:rsid w:val="006B74CA"/>
    <w:rsid w:val="006C3B1E"/>
    <w:rsid w:val="006E109B"/>
    <w:rsid w:val="006E1123"/>
    <w:rsid w:val="006F4C71"/>
    <w:rsid w:val="006F53E4"/>
    <w:rsid w:val="006F6E7B"/>
    <w:rsid w:val="007041F6"/>
    <w:rsid w:val="00714419"/>
    <w:rsid w:val="00714AC8"/>
    <w:rsid w:val="00716CF2"/>
    <w:rsid w:val="00723C27"/>
    <w:rsid w:val="0072415E"/>
    <w:rsid w:val="00733860"/>
    <w:rsid w:val="00751E50"/>
    <w:rsid w:val="007528A6"/>
    <w:rsid w:val="00752959"/>
    <w:rsid w:val="00763DA4"/>
    <w:rsid w:val="00770D93"/>
    <w:rsid w:val="007759C7"/>
    <w:rsid w:val="00783F9E"/>
    <w:rsid w:val="00791E56"/>
    <w:rsid w:val="00796A64"/>
    <w:rsid w:val="007A5446"/>
    <w:rsid w:val="007B73BC"/>
    <w:rsid w:val="007C236A"/>
    <w:rsid w:val="007D2B35"/>
    <w:rsid w:val="007D5E19"/>
    <w:rsid w:val="007E4C07"/>
    <w:rsid w:val="007F31DF"/>
    <w:rsid w:val="007F664D"/>
    <w:rsid w:val="007F700B"/>
    <w:rsid w:val="00811629"/>
    <w:rsid w:val="00837D90"/>
    <w:rsid w:val="00847E62"/>
    <w:rsid w:val="00850810"/>
    <w:rsid w:val="0085105B"/>
    <w:rsid w:val="008613A6"/>
    <w:rsid w:val="00876095"/>
    <w:rsid w:val="008A0B5F"/>
    <w:rsid w:val="008A7FD2"/>
    <w:rsid w:val="008B58AF"/>
    <w:rsid w:val="008C4D7B"/>
    <w:rsid w:val="008D14AF"/>
    <w:rsid w:val="008E4AB8"/>
    <w:rsid w:val="008F4310"/>
    <w:rsid w:val="00904ADE"/>
    <w:rsid w:val="009108B9"/>
    <w:rsid w:val="00912AC8"/>
    <w:rsid w:val="00915D7E"/>
    <w:rsid w:val="00922392"/>
    <w:rsid w:val="00940235"/>
    <w:rsid w:val="00952F48"/>
    <w:rsid w:val="00957A98"/>
    <w:rsid w:val="00957C6D"/>
    <w:rsid w:val="00967152"/>
    <w:rsid w:val="00985196"/>
    <w:rsid w:val="00986B4D"/>
    <w:rsid w:val="009917DD"/>
    <w:rsid w:val="0099669E"/>
    <w:rsid w:val="009A2DC9"/>
    <w:rsid w:val="009B10B3"/>
    <w:rsid w:val="009B2879"/>
    <w:rsid w:val="009B2FC1"/>
    <w:rsid w:val="009B67EF"/>
    <w:rsid w:val="009C7100"/>
    <w:rsid w:val="009D2FB3"/>
    <w:rsid w:val="009D50EB"/>
    <w:rsid w:val="009E1415"/>
    <w:rsid w:val="009F3803"/>
    <w:rsid w:val="009F4917"/>
    <w:rsid w:val="009F4E4A"/>
    <w:rsid w:val="00A06715"/>
    <w:rsid w:val="00A11415"/>
    <w:rsid w:val="00A14E08"/>
    <w:rsid w:val="00A17F8F"/>
    <w:rsid w:val="00A204E9"/>
    <w:rsid w:val="00A30E32"/>
    <w:rsid w:val="00A52425"/>
    <w:rsid w:val="00A5766E"/>
    <w:rsid w:val="00A63602"/>
    <w:rsid w:val="00A643D0"/>
    <w:rsid w:val="00A7223F"/>
    <w:rsid w:val="00A91134"/>
    <w:rsid w:val="00A912EE"/>
    <w:rsid w:val="00A94719"/>
    <w:rsid w:val="00AA2DEB"/>
    <w:rsid w:val="00AA3015"/>
    <w:rsid w:val="00AA58A4"/>
    <w:rsid w:val="00AB1F94"/>
    <w:rsid w:val="00AB2AB9"/>
    <w:rsid w:val="00AB7066"/>
    <w:rsid w:val="00AC2A8F"/>
    <w:rsid w:val="00AC567B"/>
    <w:rsid w:val="00AD20EF"/>
    <w:rsid w:val="00AE115C"/>
    <w:rsid w:val="00AE71EC"/>
    <w:rsid w:val="00AF3E7F"/>
    <w:rsid w:val="00B05AC5"/>
    <w:rsid w:val="00B0650F"/>
    <w:rsid w:val="00B12407"/>
    <w:rsid w:val="00B20D8E"/>
    <w:rsid w:val="00B233DB"/>
    <w:rsid w:val="00B248D0"/>
    <w:rsid w:val="00B32095"/>
    <w:rsid w:val="00B37ACD"/>
    <w:rsid w:val="00B43018"/>
    <w:rsid w:val="00B549F7"/>
    <w:rsid w:val="00B55919"/>
    <w:rsid w:val="00B559C8"/>
    <w:rsid w:val="00B62E92"/>
    <w:rsid w:val="00B730C7"/>
    <w:rsid w:val="00B93646"/>
    <w:rsid w:val="00B939A2"/>
    <w:rsid w:val="00B9492F"/>
    <w:rsid w:val="00BA5FAC"/>
    <w:rsid w:val="00BB09C5"/>
    <w:rsid w:val="00BB66D8"/>
    <w:rsid w:val="00BC4A6F"/>
    <w:rsid w:val="00BE13C7"/>
    <w:rsid w:val="00BE4F76"/>
    <w:rsid w:val="00BF1BAD"/>
    <w:rsid w:val="00BF6014"/>
    <w:rsid w:val="00C12554"/>
    <w:rsid w:val="00C14652"/>
    <w:rsid w:val="00C21F91"/>
    <w:rsid w:val="00C34008"/>
    <w:rsid w:val="00C344F7"/>
    <w:rsid w:val="00C4123F"/>
    <w:rsid w:val="00C444FB"/>
    <w:rsid w:val="00C47224"/>
    <w:rsid w:val="00C668E9"/>
    <w:rsid w:val="00C66C03"/>
    <w:rsid w:val="00C71DD1"/>
    <w:rsid w:val="00C74D69"/>
    <w:rsid w:val="00C7670C"/>
    <w:rsid w:val="00C90E17"/>
    <w:rsid w:val="00C91629"/>
    <w:rsid w:val="00CB2728"/>
    <w:rsid w:val="00CC4BFB"/>
    <w:rsid w:val="00CF25E8"/>
    <w:rsid w:val="00CF38E1"/>
    <w:rsid w:val="00CF7F6C"/>
    <w:rsid w:val="00D314C5"/>
    <w:rsid w:val="00D446AD"/>
    <w:rsid w:val="00D47B3B"/>
    <w:rsid w:val="00D55A5E"/>
    <w:rsid w:val="00D565D2"/>
    <w:rsid w:val="00D6575D"/>
    <w:rsid w:val="00D758E6"/>
    <w:rsid w:val="00D763AE"/>
    <w:rsid w:val="00D76ABD"/>
    <w:rsid w:val="00D81890"/>
    <w:rsid w:val="00D95F7E"/>
    <w:rsid w:val="00DA07A4"/>
    <w:rsid w:val="00DB3375"/>
    <w:rsid w:val="00DB5A6A"/>
    <w:rsid w:val="00DC7BBC"/>
    <w:rsid w:val="00DD07BA"/>
    <w:rsid w:val="00DD20E1"/>
    <w:rsid w:val="00DD602E"/>
    <w:rsid w:val="00DF08AB"/>
    <w:rsid w:val="00E02A57"/>
    <w:rsid w:val="00E14425"/>
    <w:rsid w:val="00E15042"/>
    <w:rsid w:val="00E220AA"/>
    <w:rsid w:val="00E24DCC"/>
    <w:rsid w:val="00E263DE"/>
    <w:rsid w:val="00E304D1"/>
    <w:rsid w:val="00E34A0D"/>
    <w:rsid w:val="00E4337D"/>
    <w:rsid w:val="00E45809"/>
    <w:rsid w:val="00E46AA3"/>
    <w:rsid w:val="00E52306"/>
    <w:rsid w:val="00E52C65"/>
    <w:rsid w:val="00E564E0"/>
    <w:rsid w:val="00E5691D"/>
    <w:rsid w:val="00E62CD5"/>
    <w:rsid w:val="00E71262"/>
    <w:rsid w:val="00E75E6C"/>
    <w:rsid w:val="00E92374"/>
    <w:rsid w:val="00E931DB"/>
    <w:rsid w:val="00E936A9"/>
    <w:rsid w:val="00EA3701"/>
    <w:rsid w:val="00EB77F4"/>
    <w:rsid w:val="00EC329E"/>
    <w:rsid w:val="00EC7663"/>
    <w:rsid w:val="00ED4360"/>
    <w:rsid w:val="00EF420F"/>
    <w:rsid w:val="00F011AF"/>
    <w:rsid w:val="00F02E99"/>
    <w:rsid w:val="00F13FB5"/>
    <w:rsid w:val="00F24B75"/>
    <w:rsid w:val="00F26309"/>
    <w:rsid w:val="00F337AF"/>
    <w:rsid w:val="00F33C79"/>
    <w:rsid w:val="00F33C86"/>
    <w:rsid w:val="00F370D7"/>
    <w:rsid w:val="00F51DC2"/>
    <w:rsid w:val="00F5478B"/>
    <w:rsid w:val="00F55F09"/>
    <w:rsid w:val="00F562A3"/>
    <w:rsid w:val="00F56F1C"/>
    <w:rsid w:val="00F739AB"/>
    <w:rsid w:val="00F73A9A"/>
    <w:rsid w:val="00F77C8C"/>
    <w:rsid w:val="00F84A54"/>
    <w:rsid w:val="00F8595F"/>
    <w:rsid w:val="00F969D7"/>
    <w:rsid w:val="00FB050A"/>
    <w:rsid w:val="00FC2BD6"/>
    <w:rsid w:val="00FE1E34"/>
    <w:rsid w:val="00FE458E"/>
    <w:rsid w:val="00FF0372"/>
    <w:rsid w:val="00FF1C48"/>
    <w:rsid w:val="00FF3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F45"/>
    <w:pPr>
      <w:spacing w:after="0" w:line="240" w:lineRule="auto"/>
      <w:ind w:left="720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1B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87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87B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B559C8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44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16D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141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F45"/>
    <w:pPr>
      <w:spacing w:after="0" w:line="240" w:lineRule="auto"/>
      <w:ind w:left="720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1B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87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87B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B559C8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44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16D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1415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5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4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8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5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2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75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61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1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3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D25E3C-12D7-4031-9E8F-99D318BD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Tessougué, Mrs Fatoumata Cissé - Mli</dc:creator>
  <cp:lastModifiedBy>NIAKA</cp:lastModifiedBy>
  <cp:revision>2</cp:revision>
  <cp:lastPrinted>2015-01-19T09:51:00Z</cp:lastPrinted>
  <dcterms:created xsi:type="dcterms:W3CDTF">2015-02-16T10:17:00Z</dcterms:created>
  <dcterms:modified xsi:type="dcterms:W3CDTF">2015-02-16T10:17:00Z</dcterms:modified>
</cp:coreProperties>
</file>