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2B" w:rsidRPr="0089273A" w:rsidRDefault="00FA672B" w:rsidP="00FA672B">
      <w:bookmarkStart w:id="0" w:name="_Toc521940837"/>
      <w:bookmarkStart w:id="1" w:name="_Toc521940914"/>
      <w:bookmarkStart w:id="2" w:name="_Toc524252809"/>
      <w:r w:rsidRPr="0089273A">
        <w:t xml:space="preserve">MINISTERE DE LA SANTE  ET DE           </w:t>
      </w:r>
      <w:r>
        <w:tab/>
      </w:r>
      <w:r>
        <w:tab/>
      </w:r>
      <w:r w:rsidRPr="0089273A">
        <w:t xml:space="preserve">  </w:t>
      </w:r>
      <w:r>
        <w:tab/>
        <w:t xml:space="preserve"> </w:t>
      </w:r>
      <w:r w:rsidRPr="0089273A">
        <w:t>REPUBLIQUE DU MALI</w:t>
      </w:r>
    </w:p>
    <w:p w:rsidR="00FA672B" w:rsidRPr="0089273A" w:rsidRDefault="00FA672B" w:rsidP="00FA672B">
      <w:r w:rsidRPr="0089273A">
        <w:t xml:space="preserve">L’HYGIENE PUBLIQUE  </w:t>
      </w:r>
      <w:r w:rsidRPr="0089273A">
        <w:tab/>
      </w:r>
      <w:r w:rsidRPr="0089273A">
        <w:tab/>
      </w:r>
      <w:r w:rsidRPr="0089273A">
        <w:tab/>
      </w:r>
      <w:r>
        <w:tab/>
      </w:r>
      <w:r>
        <w:tab/>
      </w:r>
      <w:r>
        <w:tab/>
      </w:r>
      <w:r w:rsidRPr="0089273A">
        <w:rPr>
          <w:i/>
          <w:highlight w:val="green"/>
        </w:rPr>
        <w:t>Un Peuple</w:t>
      </w:r>
      <w:r w:rsidRPr="0089273A">
        <w:rPr>
          <w:i/>
          <w:highlight w:val="yellow"/>
        </w:rPr>
        <w:t>-Un But-</w:t>
      </w:r>
      <w:r w:rsidRPr="0089273A">
        <w:rPr>
          <w:i/>
          <w:highlight w:val="red"/>
        </w:rPr>
        <w:t>Une Foi</w:t>
      </w:r>
      <w:r w:rsidRPr="0089273A">
        <w:tab/>
        <w:t xml:space="preserve">**********   </w:t>
      </w:r>
      <w:r w:rsidRPr="0089273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73A">
        <w:t>**********</w:t>
      </w:r>
    </w:p>
    <w:p w:rsidR="00FA672B" w:rsidRPr="0089273A" w:rsidRDefault="00FA672B" w:rsidP="00FA672B">
      <w:pPr>
        <w:rPr>
          <w:noProof/>
        </w:rPr>
      </w:pPr>
      <w:r>
        <w:rPr>
          <w:noProof/>
        </w:rPr>
        <w:drawing>
          <wp:inline distT="0" distB="0" distL="0" distR="0">
            <wp:extent cx="255270" cy="38290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273A">
        <w:rPr>
          <w:bCs/>
        </w:rPr>
        <w:t xml:space="preserve">CENTRE NATIONAL D’APPUI A                                     </w:t>
      </w:r>
    </w:p>
    <w:p w:rsidR="00FA672B" w:rsidRPr="0089273A" w:rsidRDefault="00FA672B" w:rsidP="00FA672B">
      <w:pPr>
        <w:rPr>
          <w:bCs/>
        </w:rPr>
      </w:pPr>
      <w:r w:rsidRPr="0089273A">
        <w:rPr>
          <w:bCs/>
        </w:rPr>
        <w:t>LA LUTTE CONTRE LA MALADIE</w:t>
      </w:r>
    </w:p>
    <w:p w:rsidR="00FA672B" w:rsidRPr="000B1933" w:rsidRDefault="00FA672B" w:rsidP="00FA672B">
      <w:pPr>
        <w:rPr>
          <w:b/>
          <w:bCs/>
        </w:rPr>
      </w:pPr>
      <w:r w:rsidRPr="0089273A">
        <w:rPr>
          <w:bCs/>
        </w:rPr>
        <w:t xml:space="preserve">                      </w:t>
      </w:r>
      <w:r w:rsidRPr="000B1933">
        <w:rPr>
          <w:b/>
          <w:bCs/>
        </w:rPr>
        <w:t>C.N.A.M</w:t>
      </w:r>
    </w:p>
    <w:p w:rsidR="00FA672B" w:rsidRPr="0089273A" w:rsidRDefault="00FA672B" w:rsidP="00FA672B">
      <w:pPr>
        <w:rPr>
          <w:bCs/>
        </w:rPr>
      </w:pPr>
      <w:r w:rsidRPr="0089273A">
        <w:rPr>
          <w:bCs/>
        </w:rPr>
        <w:t>Tél.: (223) 20 22 51 31 - Fax: (223) 20 22 28 45</w:t>
      </w:r>
    </w:p>
    <w:p w:rsidR="00FA672B" w:rsidRPr="00CD56E7" w:rsidRDefault="00FA672B" w:rsidP="00FA672B">
      <w:pPr>
        <w:rPr>
          <w:bCs/>
        </w:rPr>
      </w:pPr>
      <w:r w:rsidRPr="00CD56E7">
        <w:rPr>
          <w:b/>
        </w:rPr>
        <w:t>Site web</w:t>
      </w:r>
      <w:r w:rsidRPr="00CD56E7">
        <w:t xml:space="preserve"> : </w:t>
      </w:r>
      <w:hyperlink r:id="rId8" w:history="1">
        <w:r w:rsidRPr="0028518B">
          <w:rPr>
            <w:rStyle w:val="Lienhypertexte"/>
          </w:rPr>
          <w:t>www.cnam.sante.gov.ml</w:t>
        </w:r>
      </w:hyperlink>
      <w:r>
        <w:t xml:space="preserve"> </w:t>
      </w:r>
    </w:p>
    <w:p w:rsidR="00FA672B" w:rsidRPr="007C5659" w:rsidRDefault="00FA672B" w:rsidP="00FA672B">
      <w:pPr>
        <w:rPr>
          <w:b/>
          <w:bCs/>
          <w:sz w:val="32"/>
          <w:szCs w:val="32"/>
        </w:rPr>
      </w:pPr>
    </w:p>
    <w:p w:rsidR="00FA672B" w:rsidRPr="00581B5A" w:rsidRDefault="00FA672B" w:rsidP="00FA672B">
      <w:pPr>
        <w:pStyle w:val="Titre2"/>
        <w:numPr>
          <w:ilvl w:val="0"/>
          <w:numId w:val="0"/>
        </w:numPr>
        <w:spacing w:line="276" w:lineRule="auto"/>
        <w:ind w:left="360" w:hanging="360"/>
        <w:jc w:val="center"/>
        <w:rPr>
          <w:rFonts w:ascii="Times New Roman" w:hAnsi="Times New Roman"/>
          <w:bCs w:val="0"/>
          <w:smallCaps/>
          <w:sz w:val="28"/>
        </w:rPr>
      </w:pPr>
      <w:r w:rsidRPr="00581B5A">
        <w:rPr>
          <w:rFonts w:ascii="Times New Roman" w:hAnsi="Times New Roman"/>
          <w:smallCaps/>
          <w:sz w:val="28"/>
          <w:lang w:val="fr-ML"/>
        </w:rPr>
        <w:t>Activités de Pharmacovigilance </w:t>
      </w:r>
      <w:bookmarkEnd w:id="0"/>
      <w:bookmarkEnd w:id="1"/>
      <w:bookmarkEnd w:id="2"/>
      <w:r>
        <w:rPr>
          <w:rFonts w:ascii="Times New Roman" w:hAnsi="Times New Roman"/>
          <w:smallCaps/>
          <w:sz w:val="28"/>
          <w:lang w:val="fr-ML"/>
        </w:rPr>
        <w:t>(Extrait du rapport d’activités du CNAM a mi parcours du 1</w:t>
      </w:r>
      <w:r w:rsidRPr="00FA672B">
        <w:rPr>
          <w:rFonts w:ascii="Times New Roman" w:hAnsi="Times New Roman"/>
          <w:smallCaps/>
          <w:sz w:val="28"/>
          <w:vertAlign w:val="superscript"/>
          <w:lang w:val="fr-ML"/>
        </w:rPr>
        <w:t>er</w:t>
      </w:r>
      <w:r>
        <w:rPr>
          <w:rFonts w:ascii="Times New Roman" w:hAnsi="Times New Roman"/>
          <w:smallCaps/>
          <w:sz w:val="28"/>
          <w:lang w:val="fr-ML"/>
        </w:rPr>
        <w:t xml:space="preserve"> janvier au 30 juin 2018</w:t>
      </w:r>
    </w:p>
    <w:p w:rsidR="00FA672B" w:rsidRPr="00581B5A" w:rsidRDefault="00FA672B" w:rsidP="00FA672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81B5A">
        <w:rPr>
          <w:bCs/>
          <w:sz w:val="28"/>
          <w:szCs w:val="28"/>
        </w:rPr>
        <w:t>Le Centre National de Référence de pharmacovigilance (CNRP) a été créé au sein du CNAM par l’arrêté N°2011_4201_MS-SG du 14 octobre 2011. Il a pour missions de :</w:t>
      </w:r>
    </w:p>
    <w:p w:rsidR="00FA672B" w:rsidRPr="00581B5A" w:rsidRDefault="00FA672B" w:rsidP="00FA672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recueillir et diffuser les informations sur les effets indésirables des médicaments ;</w:t>
      </w:r>
    </w:p>
    <w:p w:rsidR="00FA672B" w:rsidRPr="00581B5A" w:rsidRDefault="00FA672B" w:rsidP="00FA672B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analyser et </w:t>
      </w:r>
      <w:r w:rsidRPr="00581B5A">
        <w:rPr>
          <w:bCs/>
          <w:sz w:val="28"/>
          <w:szCs w:val="28"/>
        </w:rPr>
        <w:t>évaluer le lien entre le médicament et les effets indésirables par l’imputabilité ;</w:t>
      </w:r>
      <w:r w:rsidRPr="00581B5A">
        <w:rPr>
          <w:sz w:val="28"/>
          <w:szCs w:val="28"/>
        </w:rPr>
        <w:t xml:space="preserve"> </w:t>
      </w:r>
    </w:p>
    <w:p w:rsidR="00FA672B" w:rsidRPr="00581B5A" w:rsidRDefault="00FA672B" w:rsidP="00FA672B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documenter et archiver </w:t>
      </w:r>
      <w:r w:rsidRPr="00581B5A">
        <w:rPr>
          <w:bCs/>
          <w:sz w:val="28"/>
          <w:szCs w:val="28"/>
        </w:rPr>
        <w:t>les informations sur les effets indésirables des médicaments dans une banque de données ;</w:t>
      </w:r>
    </w:p>
    <w:p w:rsidR="00FA672B" w:rsidRPr="00581B5A" w:rsidRDefault="00FA672B" w:rsidP="00FA672B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faire le suivi et la rétro information </w:t>
      </w:r>
      <w:r w:rsidRPr="00581B5A">
        <w:rPr>
          <w:bCs/>
          <w:sz w:val="28"/>
          <w:szCs w:val="28"/>
        </w:rPr>
        <w:t>à la notification des effets indésirables des médicaments ;</w:t>
      </w:r>
    </w:p>
    <w:p w:rsidR="00FA672B" w:rsidRPr="00581B5A" w:rsidRDefault="00FA672B" w:rsidP="00FA672B">
      <w:pPr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 w:rsidRPr="00581B5A">
        <w:rPr>
          <w:bCs/>
          <w:sz w:val="28"/>
          <w:szCs w:val="28"/>
        </w:rPr>
        <w:t>répondre aux demandes sur les effets indésirables des médicaments ;</w:t>
      </w:r>
    </w:p>
    <w:p w:rsidR="00FA672B" w:rsidRPr="00581B5A" w:rsidRDefault="00FA672B" w:rsidP="00FA672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assurer le contact avec le centre international de pharmacovigilance de l’OMS (Uppsala monitoring Center) et y soumettre des rapports ;</w:t>
      </w:r>
      <w:bookmarkStart w:id="3" w:name="_GoBack"/>
      <w:bookmarkEnd w:id="3"/>
    </w:p>
    <w:p w:rsidR="00FA672B" w:rsidRPr="00581B5A" w:rsidRDefault="00FA672B" w:rsidP="00FA672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programmer des enquêtes de pharmacovigilance ;</w:t>
      </w:r>
    </w:p>
    <w:p w:rsidR="00FA672B" w:rsidRPr="00581B5A" w:rsidRDefault="00FA672B" w:rsidP="00FA672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participer à l’enseignement et à la formation des professionnels de santé en matière de pharmacovigilance ;</w:t>
      </w:r>
    </w:p>
    <w:p w:rsidR="00FA672B" w:rsidRPr="00581B5A" w:rsidRDefault="00FA672B" w:rsidP="00FA672B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générer des alertes en matière de pharmacovigilance.</w:t>
      </w:r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Du 1</w:t>
      </w:r>
      <w:r w:rsidRPr="00581B5A">
        <w:rPr>
          <w:sz w:val="28"/>
          <w:szCs w:val="28"/>
          <w:vertAlign w:val="superscript"/>
        </w:rPr>
        <w:t>er</w:t>
      </w:r>
      <w:r w:rsidRPr="00581B5A">
        <w:rPr>
          <w:sz w:val="28"/>
          <w:szCs w:val="28"/>
        </w:rPr>
        <w:t xml:space="preserve"> janvier au 30 juin 2018, les activités de pharmacovigilance ont porté sur : le suivi des effets indésirables notifiés par les structures sanitaires, la formation et la recherche. </w:t>
      </w:r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>Il y a eu 10 cas d’Effets Indésirables Médicamenteux (EIM) enregistrés dans la base des données Vigiflow du 01janvier au 30 juin 2018.</w:t>
      </w:r>
    </w:p>
    <w:p w:rsidR="00FA672B" w:rsidRPr="00581B5A" w:rsidRDefault="00FA672B" w:rsidP="00FA672B">
      <w:pPr>
        <w:spacing w:line="276" w:lineRule="auto"/>
        <w:jc w:val="both"/>
        <w:rPr>
          <w:b/>
          <w:sz w:val="28"/>
          <w:szCs w:val="28"/>
        </w:rPr>
      </w:pPr>
    </w:p>
    <w:p w:rsidR="00FA672B" w:rsidRPr="00581B5A" w:rsidRDefault="00FA672B" w:rsidP="00FA672B">
      <w:pPr>
        <w:spacing w:line="276" w:lineRule="auto"/>
        <w:jc w:val="both"/>
        <w:rPr>
          <w:b/>
          <w:sz w:val="28"/>
          <w:szCs w:val="28"/>
        </w:rPr>
      </w:pPr>
    </w:p>
    <w:p w:rsidR="00FA672B" w:rsidRPr="00581B5A" w:rsidRDefault="00FA672B" w:rsidP="00FA672B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30875" cy="3242945"/>
            <wp:effectExtent l="19050" t="0" r="3175" b="0"/>
            <wp:docPr id="1" name="Graphiqu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2B" w:rsidRPr="007B6E6E" w:rsidRDefault="00FA672B" w:rsidP="00FA672B">
      <w:pPr>
        <w:rPr>
          <w:sz w:val="28"/>
        </w:rPr>
      </w:pPr>
      <w:bookmarkStart w:id="4" w:name="_Toc521940838"/>
      <w:bookmarkStart w:id="5" w:name="_Toc521940915"/>
      <w:r w:rsidRPr="007B6E6E">
        <w:rPr>
          <w:b/>
          <w:sz w:val="28"/>
        </w:rPr>
        <w:t>Figure </w:t>
      </w:r>
      <w:r>
        <w:rPr>
          <w:b/>
          <w:sz w:val="28"/>
        </w:rPr>
        <w:t>1</w:t>
      </w:r>
      <w:r w:rsidRPr="007B6E6E">
        <w:rPr>
          <w:b/>
          <w:sz w:val="28"/>
        </w:rPr>
        <w:t xml:space="preserve"> :</w:t>
      </w:r>
      <w:r w:rsidRPr="007C6559">
        <w:rPr>
          <w:sz w:val="28"/>
        </w:rPr>
        <w:t xml:space="preserve"> </w:t>
      </w:r>
      <w:r w:rsidRPr="007B6E6E">
        <w:rPr>
          <w:sz w:val="28"/>
        </w:rPr>
        <w:t>Répartition des EIM notifiés en fonction des groupes d’Age du 1</w:t>
      </w:r>
      <w:r w:rsidRPr="007B6E6E">
        <w:rPr>
          <w:sz w:val="28"/>
          <w:vertAlign w:val="superscript"/>
        </w:rPr>
        <w:t>er</w:t>
      </w:r>
      <w:r w:rsidRPr="007B6E6E">
        <w:rPr>
          <w:sz w:val="28"/>
        </w:rPr>
        <w:t xml:space="preserve"> janvier au 30 juin 2018</w:t>
      </w:r>
      <w:bookmarkEnd w:id="4"/>
      <w:bookmarkEnd w:id="5"/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  <w:r w:rsidRPr="00581B5A">
        <w:rPr>
          <w:b/>
          <w:sz w:val="28"/>
          <w:szCs w:val="28"/>
        </w:rPr>
        <w:t>NB :</w:t>
      </w:r>
      <w:r w:rsidRPr="00581B5A">
        <w:rPr>
          <w:sz w:val="28"/>
          <w:szCs w:val="28"/>
        </w:rPr>
        <w:t xml:space="preserve"> Adolescents : 12-17 ans ; Adultes : 18-44 ans, Enfants : 2-11ans ; Nourrissons : 1 mois -23 mois (VIGIFLOW)</w:t>
      </w:r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 xml:space="preserve">La figure ci-dessus montre que les EIM notifiés ont concerné plus les adolescents. </w:t>
      </w:r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</w:p>
    <w:p w:rsidR="00FA672B" w:rsidRPr="00581B5A" w:rsidRDefault="00FA672B" w:rsidP="00FA672B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09665" cy="2753995"/>
            <wp:effectExtent l="19050" t="0" r="635" b="0"/>
            <wp:docPr id="2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6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2B" w:rsidRPr="007B6E6E" w:rsidRDefault="00FA672B" w:rsidP="00FA672B">
      <w:pPr>
        <w:rPr>
          <w:sz w:val="28"/>
        </w:rPr>
      </w:pPr>
      <w:bookmarkStart w:id="6" w:name="_Toc521940839"/>
      <w:bookmarkStart w:id="7" w:name="_Toc521940916"/>
      <w:r w:rsidRPr="007B6E6E">
        <w:rPr>
          <w:b/>
          <w:sz w:val="28"/>
        </w:rPr>
        <w:t>Figure </w:t>
      </w:r>
      <w:r>
        <w:rPr>
          <w:b/>
          <w:sz w:val="28"/>
        </w:rPr>
        <w:t>2</w:t>
      </w:r>
      <w:r w:rsidRPr="007B6E6E">
        <w:rPr>
          <w:b/>
          <w:sz w:val="28"/>
        </w:rPr>
        <w:t xml:space="preserve"> :</w:t>
      </w:r>
      <w:r w:rsidRPr="007C6559">
        <w:rPr>
          <w:sz w:val="28"/>
        </w:rPr>
        <w:t xml:space="preserve"> </w:t>
      </w:r>
      <w:r w:rsidRPr="007B6E6E">
        <w:rPr>
          <w:sz w:val="28"/>
        </w:rPr>
        <w:t>Répartition des EIM notifiés en Fonction de la gravité du 1</w:t>
      </w:r>
      <w:r w:rsidRPr="007B6E6E">
        <w:rPr>
          <w:sz w:val="28"/>
          <w:vertAlign w:val="superscript"/>
        </w:rPr>
        <w:t>er</w:t>
      </w:r>
      <w:r w:rsidRPr="007B6E6E">
        <w:rPr>
          <w:sz w:val="28"/>
        </w:rPr>
        <w:t xml:space="preserve"> janvier au 30 juin 2018</w:t>
      </w:r>
      <w:bookmarkEnd w:id="6"/>
      <w:bookmarkEnd w:id="7"/>
    </w:p>
    <w:p w:rsidR="00FA672B" w:rsidRPr="00581B5A" w:rsidRDefault="00FA672B" w:rsidP="00FA672B">
      <w:pPr>
        <w:spacing w:line="276" w:lineRule="auto"/>
        <w:jc w:val="both"/>
        <w:rPr>
          <w:sz w:val="28"/>
          <w:szCs w:val="28"/>
        </w:rPr>
      </w:pPr>
      <w:r w:rsidRPr="00581B5A">
        <w:rPr>
          <w:sz w:val="28"/>
          <w:szCs w:val="28"/>
        </w:rPr>
        <w:t xml:space="preserve"> La figure ci-dessus fait ressortir qu’un seul cas grave a été notifié qui correspondait à un syndrome de Lyell.</w:t>
      </w:r>
    </w:p>
    <w:p w:rsidR="00FA672B" w:rsidRPr="00581B5A" w:rsidRDefault="00FA672B" w:rsidP="00FA672B">
      <w:pPr>
        <w:spacing w:line="276" w:lineRule="auto"/>
        <w:jc w:val="both"/>
        <w:rPr>
          <w:b/>
          <w:sz w:val="28"/>
          <w:szCs w:val="28"/>
        </w:rPr>
      </w:pPr>
    </w:p>
    <w:p w:rsidR="00FA672B" w:rsidRPr="00581B5A" w:rsidRDefault="00FA672B" w:rsidP="00FA672B">
      <w:pPr>
        <w:spacing w:line="276" w:lineRule="auto"/>
        <w:jc w:val="both"/>
        <w:rPr>
          <w:b/>
          <w:sz w:val="28"/>
          <w:szCs w:val="28"/>
        </w:rPr>
      </w:pPr>
    </w:p>
    <w:p w:rsidR="00FA672B" w:rsidRPr="00581B5A" w:rsidRDefault="00FA672B" w:rsidP="00FA672B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7300" cy="2753995"/>
            <wp:effectExtent l="19050" t="0" r="6350" b="0"/>
            <wp:docPr id="3" name="Graphiqu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7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2B" w:rsidRPr="00581B5A" w:rsidRDefault="00FA672B" w:rsidP="00FA672B">
      <w:pPr>
        <w:spacing w:line="276" w:lineRule="auto"/>
        <w:rPr>
          <w:sz w:val="28"/>
          <w:szCs w:val="28"/>
        </w:rPr>
      </w:pPr>
    </w:p>
    <w:p w:rsidR="00FA672B" w:rsidRPr="007B6E6E" w:rsidRDefault="00FA672B" w:rsidP="00FA672B">
      <w:pPr>
        <w:rPr>
          <w:sz w:val="28"/>
        </w:rPr>
      </w:pPr>
      <w:bookmarkStart w:id="8" w:name="_Toc521940840"/>
      <w:bookmarkStart w:id="9" w:name="_Toc521940917"/>
      <w:r w:rsidRPr="007B6E6E">
        <w:rPr>
          <w:b/>
          <w:sz w:val="28"/>
        </w:rPr>
        <w:t>Figure </w:t>
      </w:r>
      <w:r>
        <w:rPr>
          <w:b/>
          <w:sz w:val="28"/>
        </w:rPr>
        <w:t>3</w:t>
      </w:r>
      <w:r w:rsidRPr="007B6E6E">
        <w:rPr>
          <w:b/>
          <w:sz w:val="28"/>
        </w:rPr>
        <w:t>:</w:t>
      </w:r>
      <w:r w:rsidRPr="00B62CD4">
        <w:rPr>
          <w:sz w:val="28"/>
        </w:rPr>
        <w:t xml:space="preserve"> </w:t>
      </w:r>
      <w:r w:rsidRPr="007B6E6E">
        <w:rPr>
          <w:sz w:val="28"/>
        </w:rPr>
        <w:t>Répartition des médicaments incriminés dans la survenue des EIM notifiés de janvier au 30 juin 2018</w:t>
      </w:r>
      <w:bookmarkEnd w:id="8"/>
      <w:bookmarkEnd w:id="9"/>
    </w:p>
    <w:p w:rsidR="00FA672B" w:rsidRPr="00581B5A" w:rsidRDefault="00FA672B" w:rsidP="00FA672B">
      <w:pPr>
        <w:spacing w:line="276" w:lineRule="auto"/>
        <w:rPr>
          <w:sz w:val="28"/>
          <w:szCs w:val="28"/>
        </w:rPr>
      </w:pPr>
    </w:p>
    <w:p w:rsidR="00FA672B" w:rsidRPr="00581B5A" w:rsidRDefault="00FA672B" w:rsidP="00FA672B">
      <w:pPr>
        <w:spacing w:line="276" w:lineRule="auto"/>
        <w:rPr>
          <w:sz w:val="28"/>
          <w:szCs w:val="28"/>
        </w:rPr>
      </w:pPr>
      <w:r w:rsidRPr="00581B5A">
        <w:rPr>
          <w:sz w:val="28"/>
          <w:szCs w:val="28"/>
        </w:rPr>
        <w:t xml:space="preserve"> La figure ci-dessus montre que l’Albendazole </w:t>
      </w:r>
      <w:r>
        <w:rPr>
          <w:sz w:val="28"/>
          <w:szCs w:val="28"/>
        </w:rPr>
        <w:t>prédomine</w:t>
      </w:r>
      <w:r w:rsidRPr="00581B5A">
        <w:rPr>
          <w:sz w:val="28"/>
          <w:szCs w:val="28"/>
        </w:rPr>
        <w:t xml:space="preserve"> dans la survenue des EIM notifiés.  Cela pourrait s’expliquer par la campagne de distribution de masse intégrée dans le cadre de la lutte contre les maladies tropicales négligées (MTN).</w:t>
      </w:r>
    </w:p>
    <w:p w:rsidR="00FA672B" w:rsidRPr="00581B5A" w:rsidRDefault="00FA672B" w:rsidP="00FA672B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49645" cy="2753995"/>
            <wp:effectExtent l="19050" t="0" r="8255" b="0"/>
            <wp:docPr id="4" name="Graphiqu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8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2B" w:rsidRPr="007B6E6E" w:rsidRDefault="00FA672B" w:rsidP="00FA672B">
      <w:pPr>
        <w:rPr>
          <w:sz w:val="28"/>
        </w:rPr>
      </w:pPr>
      <w:bookmarkStart w:id="10" w:name="_Toc521940841"/>
      <w:bookmarkStart w:id="11" w:name="_Toc521940918"/>
      <w:r w:rsidRPr="007B6E6E">
        <w:rPr>
          <w:b/>
          <w:sz w:val="28"/>
        </w:rPr>
        <w:t>Figure </w:t>
      </w:r>
      <w:r>
        <w:rPr>
          <w:b/>
          <w:sz w:val="28"/>
        </w:rPr>
        <w:t>4</w:t>
      </w:r>
      <w:r w:rsidRPr="007B6E6E">
        <w:rPr>
          <w:b/>
          <w:sz w:val="28"/>
        </w:rPr>
        <w:t>:</w:t>
      </w:r>
      <w:r w:rsidRPr="00A87562">
        <w:rPr>
          <w:sz w:val="28"/>
        </w:rPr>
        <w:t xml:space="preserve"> </w:t>
      </w:r>
      <w:r w:rsidRPr="007B6E6E">
        <w:rPr>
          <w:sz w:val="28"/>
        </w:rPr>
        <w:t>Répartition des EIM notifiés en fonction du genre du 1</w:t>
      </w:r>
      <w:r w:rsidRPr="007B6E6E">
        <w:rPr>
          <w:sz w:val="28"/>
          <w:vertAlign w:val="superscript"/>
        </w:rPr>
        <w:t>er</w:t>
      </w:r>
      <w:r w:rsidRPr="007B6E6E">
        <w:rPr>
          <w:sz w:val="28"/>
        </w:rPr>
        <w:t xml:space="preserve"> janvier au 30 juin 2018</w:t>
      </w:r>
      <w:bookmarkEnd w:id="10"/>
      <w:bookmarkEnd w:id="11"/>
    </w:p>
    <w:p w:rsidR="00FA672B" w:rsidRPr="007C5659" w:rsidRDefault="00FA672B" w:rsidP="00FA672B">
      <w:pPr>
        <w:spacing w:line="276" w:lineRule="auto"/>
        <w:rPr>
          <w:sz w:val="32"/>
          <w:szCs w:val="32"/>
        </w:rPr>
      </w:pPr>
      <w:r w:rsidRPr="00581B5A">
        <w:rPr>
          <w:sz w:val="28"/>
          <w:szCs w:val="28"/>
        </w:rPr>
        <w:t xml:space="preserve"> La figure ci-dessus montre que le sexe féminin est plus fréquemment cité dans la survenue des EIM notifiés.</w:t>
      </w:r>
      <w:r w:rsidRPr="007C5659">
        <w:rPr>
          <w:sz w:val="32"/>
          <w:szCs w:val="32"/>
        </w:rPr>
        <w:t xml:space="preserve"> </w:t>
      </w:r>
    </w:p>
    <w:p w:rsidR="00FA672B" w:rsidRPr="007C5659" w:rsidRDefault="00FA672B" w:rsidP="00FA672B">
      <w:pPr>
        <w:spacing w:line="276" w:lineRule="auto"/>
        <w:rPr>
          <w:b/>
          <w:sz w:val="32"/>
          <w:szCs w:val="32"/>
        </w:rPr>
      </w:pPr>
    </w:p>
    <w:p w:rsidR="00FA672B" w:rsidRPr="00581B5A" w:rsidRDefault="00FA672B" w:rsidP="00FA672B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56325" cy="2753995"/>
            <wp:effectExtent l="19050" t="0" r="0" b="0"/>
            <wp:docPr id="5" name="Graphiqu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9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2B" w:rsidRPr="00581B5A" w:rsidRDefault="00FA672B" w:rsidP="00FA672B">
      <w:pPr>
        <w:spacing w:line="276" w:lineRule="auto"/>
        <w:rPr>
          <w:sz w:val="28"/>
          <w:szCs w:val="28"/>
        </w:rPr>
      </w:pPr>
    </w:p>
    <w:p w:rsidR="00FA672B" w:rsidRPr="00FC0736" w:rsidRDefault="00FA672B" w:rsidP="00FA672B">
      <w:pPr>
        <w:rPr>
          <w:b/>
          <w:sz w:val="28"/>
        </w:rPr>
      </w:pPr>
      <w:bookmarkStart w:id="12" w:name="_Toc521940842"/>
      <w:bookmarkStart w:id="13" w:name="_Toc521940919"/>
      <w:r w:rsidRPr="007B6E6E">
        <w:rPr>
          <w:b/>
          <w:sz w:val="28"/>
        </w:rPr>
        <w:t>Figure </w:t>
      </w:r>
      <w:r>
        <w:rPr>
          <w:b/>
          <w:sz w:val="28"/>
        </w:rPr>
        <w:t>5</w:t>
      </w:r>
      <w:r w:rsidRPr="007B6E6E">
        <w:rPr>
          <w:b/>
          <w:sz w:val="28"/>
        </w:rPr>
        <w:t xml:space="preserve"> :</w:t>
      </w:r>
      <w:r w:rsidRPr="00A87562">
        <w:rPr>
          <w:sz w:val="28"/>
        </w:rPr>
        <w:t xml:space="preserve"> </w:t>
      </w:r>
      <w:r w:rsidRPr="007B6E6E">
        <w:rPr>
          <w:sz w:val="28"/>
        </w:rPr>
        <w:t>Répartition des EIM notifiés en fonction du type de manifestations de janvier à juin 2018</w:t>
      </w:r>
      <w:bookmarkEnd w:id="12"/>
      <w:bookmarkEnd w:id="13"/>
    </w:p>
    <w:p w:rsidR="00FA672B" w:rsidRPr="00A87562" w:rsidRDefault="00FA672B" w:rsidP="00FA672B">
      <w:pPr>
        <w:spacing w:line="276" w:lineRule="auto"/>
        <w:rPr>
          <w:sz w:val="28"/>
          <w:szCs w:val="28"/>
        </w:rPr>
      </w:pPr>
    </w:p>
    <w:p w:rsidR="00FA672B" w:rsidRDefault="00FA672B" w:rsidP="00FA672B">
      <w:pPr>
        <w:spacing w:line="276" w:lineRule="auto"/>
        <w:rPr>
          <w:sz w:val="28"/>
          <w:szCs w:val="28"/>
        </w:rPr>
      </w:pPr>
      <w:r w:rsidRPr="00581B5A">
        <w:rPr>
          <w:sz w:val="28"/>
          <w:szCs w:val="28"/>
        </w:rPr>
        <w:t xml:space="preserve"> La figure ci-dessus montre que les manifestations gastro-intestinales prédominent lors de la survenue des EIM notifiés. </w:t>
      </w:r>
    </w:p>
    <w:p w:rsidR="0002259B" w:rsidRDefault="0002259B"/>
    <w:p w:rsidR="00EF44E9" w:rsidRPr="00EF44E9" w:rsidRDefault="00EF44E9">
      <w:pPr>
        <w:rPr>
          <w:sz w:val="28"/>
          <w:szCs w:val="28"/>
        </w:rPr>
      </w:pPr>
      <w:r w:rsidRPr="00EF44E9">
        <w:rPr>
          <w:sz w:val="28"/>
          <w:szCs w:val="28"/>
        </w:rPr>
        <w:t>Le développement de la Pharmacovigilance au Mali est confronté à un certain nombre de difficultés comme :</w:t>
      </w:r>
    </w:p>
    <w:p w:rsidR="00EF44E9" w:rsidRPr="00EF44E9" w:rsidRDefault="00EF44E9" w:rsidP="00EF44E9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EF44E9">
        <w:rPr>
          <w:sz w:val="28"/>
          <w:szCs w:val="28"/>
        </w:rPr>
        <w:t>l’insuffisance de ressources humaines compétentes en la matière ;</w:t>
      </w:r>
    </w:p>
    <w:p w:rsidR="00EF44E9" w:rsidRPr="00EF44E9" w:rsidRDefault="00EF44E9" w:rsidP="00EF44E9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EF44E9">
        <w:rPr>
          <w:sz w:val="28"/>
          <w:szCs w:val="28"/>
        </w:rPr>
        <w:t>l’insuffisance de notification par les acteurs du système national ;</w:t>
      </w:r>
    </w:p>
    <w:p w:rsidR="00EF44E9" w:rsidRDefault="00EF44E9" w:rsidP="00EF44E9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EF44E9">
        <w:rPr>
          <w:sz w:val="28"/>
          <w:szCs w:val="28"/>
        </w:rPr>
        <w:t xml:space="preserve">l’insuffisance de ressources financières de l’Etat consacrées à la pharmacovigilance. </w:t>
      </w:r>
    </w:p>
    <w:p w:rsidR="00EF44E9" w:rsidRDefault="00EF44E9" w:rsidP="00EF44E9">
      <w:pPr>
        <w:rPr>
          <w:sz w:val="28"/>
          <w:szCs w:val="28"/>
        </w:rPr>
      </w:pPr>
    </w:p>
    <w:p w:rsidR="000F7DCD" w:rsidRPr="00EF44E9" w:rsidRDefault="000F7DCD" w:rsidP="00EF44E9">
      <w:pPr>
        <w:rPr>
          <w:sz w:val="28"/>
          <w:szCs w:val="28"/>
        </w:rPr>
      </w:pPr>
      <w:r>
        <w:rPr>
          <w:sz w:val="28"/>
          <w:szCs w:val="28"/>
        </w:rPr>
        <w:t>La performance du système de pharmacovigilance au Mali déprendra des solutions apportées aux difficultés ci-dessus citées.</w:t>
      </w:r>
    </w:p>
    <w:sectPr w:rsidR="000F7DCD" w:rsidRPr="00EF44E9" w:rsidSect="0002259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956" w:rsidRPr="00F54635" w:rsidRDefault="00C16956" w:rsidP="00FA672B">
      <w:r>
        <w:separator/>
      </w:r>
    </w:p>
  </w:endnote>
  <w:endnote w:type="continuationSeparator" w:id="0">
    <w:p w:rsidR="00C16956" w:rsidRPr="00F54635" w:rsidRDefault="00C16956" w:rsidP="00FA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95001"/>
      <w:docPartObj>
        <w:docPartGallery w:val="Page Numbers (Bottom of Page)"/>
        <w:docPartUnique/>
      </w:docPartObj>
    </w:sdtPr>
    <w:sdtEndPr/>
    <w:sdtContent>
      <w:p w:rsidR="00FA672B" w:rsidRDefault="00FE4568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6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A672B" w:rsidRDefault="00C1695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E4568" w:rsidRPr="00FE4568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qiTQIAAKcEAAAOAAAAZHJzL2Uyb0RvYy54bWysVNtu2zAMfR+wfxD0vjr3dkGcokjXYUC3&#10;Fej2AYokx9pkUaOU2N3Xj5KdLG3fhvlBEEXy8HJIr667xrKDxmDAlXx8MeJMOwnKuF3Jv3+7e3fF&#10;WYjCKWHB6ZI/6cCv12/frFq/1BOowSqNjEBcWLa+5HWMflkUQda6EeECvHakrAAbEUnEXaFQtITe&#10;2GIyGi2KFlB5BKlDoNfbXsnXGb+qtIxfqyroyGzJKbeYT8znNp3FeiWWOxS+NnJIQ/xDFo0wjoKe&#10;oG5FFGyP5hVUYyRCgCpeSGgKqCojda6BqhmPXlTzWAuvcy3UnOBPbQr/D1Z+OTwgM6rkC86caIii&#10;m32EHJmNU3taH5Zk9egfMBUY/D3In4E52NTC7fQNIrS1FoqSyvbFM4ckBHJl2/YzKEIXhJ471VXY&#10;JEDqAesyIU8nQnQXmaTH6eJqOiLaJKkml7PpJBNWiOXR2WOIHzU0LF1KXqVxUhtApzEHEYf7EDMv&#10;aqhOqB+cVY0llg/CsulsvjiCDsYEf4TNBYM16s5YmwXcbTcWGbmW/C5/qUfkEs7NrGMtZT++nOcs&#10;nunyaOsTSOzG2cbuG2pQDzwf0dePJj3TAL94TuHSgiSU18ER9k7luU60fBjuURjb38nbOnI7UtNT&#10;HLttN7C9BfVEjCH020LbTZca8DdnLW1KycOvvUDNmf3kiPX349ksrVYWZvNLIonhuWZ7rhFOElTJ&#10;I2f9dRP7ddx7NLuaIvX9cJDmsDIxtTel2mc1CLQNufBhc9O6ncvZ6u//Zf0H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vlTa&#10;o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FA672B" w:rsidRDefault="00C1695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E4568" w:rsidRPr="00FE4568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956" w:rsidRPr="00F54635" w:rsidRDefault="00C16956" w:rsidP="00FA672B">
      <w:r>
        <w:separator/>
      </w:r>
    </w:p>
  </w:footnote>
  <w:footnote w:type="continuationSeparator" w:id="0">
    <w:p w:rsidR="00C16956" w:rsidRPr="00F54635" w:rsidRDefault="00C16956" w:rsidP="00FA6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E4A"/>
    <w:multiLevelType w:val="hybridMultilevel"/>
    <w:tmpl w:val="76365464"/>
    <w:lvl w:ilvl="0" w:tplc="C2A4A90E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161EFA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8871B2"/>
    <w:multiLevelType w:val="multilevel"/>
    <w:tmpl w:val="1E52A78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2">
    <w:nsid w:val="277438A1"/>
    <w:multiLevelType w:val="hybridMultilevel"/>
    <w:tmpl w:val="6E68E9C4"/>
    <w:lvl w:ilvl="0" w:tplc="C2A4A9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D7715B"/>
    <w:multiLevelType w:val="hybridMultilevel"/>
    <w:tmpl w:val="18D0294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5D614F"/>
    <w:multiLevelType w:val="multilevel"/>
    <w:tmpl w:val="BE5EC8AA"/>
    <w:lvl w:ilvl="0">
      <w:start w:val="1"/>
      <w:numFmt w:val="upperRoman"/>
      <w:pStyle w:val="Titre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2B"/>
    <w:rsid w:val="0002259B"/>
    <w:rsid w:val="000F7DCD"/>
    <w:rsid w:val="00222AF6"/>
    <w:rsid w:val="0049567C"/>
    <w:rsid w:val="00C16956"/>
    <w:rsid w:val="00E45B97"/>
    <w:rsid w:val="00EF44E9"/>
    <w:rsid w:val="00FA672B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F79F60-3DB6-4E50-A028-274C7165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A672B"/>
    <w:pPr>
      <w:keepNext/>
      <w:numPr>
        <w:numId w:val="1"/>
      </w:numPr>
      <w:spacing w:before="240" w:after="60"/>
      <w:outlineLvl w:val="1"/>
    </w:pPr>
    <w:rPr>
      <w:rFonts w:ascii="Bookman Old Style" w:hAnsi="Bookman Old Style"/>
      <w:b/>
      <w:bCs/>
      <w:i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A672B"/>
    <w:rPr>
      <w:rFonts w:ascii="Bookman Old Style" w:eastAsia="Times New Roman" w:hAnsi="Bookman Old Style" w:cs="Times New Roman"/>
      <w:b/>
      <w:bCs/>
      <w:iCs/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7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72B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A67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A67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A67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672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A67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F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m.sante.gov.ml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NIAKALING</cp:lastModifiedBy>
  <cp:revision>2</cp:revision>
  <cp:lastPrinted>2018-09-09T11:22:00Z</cp:lastPrinted>
  <dcterms:created xsi:type="dcterms:W3CDTF">2018-10-04T11:50:00Z</dcterms:created>
  <dcterms:modified xsi:type="dcterms:W3CDTF">2018-10-04T11:50:00Z</dcterms:modified>
</cp:coreProperties>
</file>