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42" w:rsidRDefault="00E72F8E" w:rsidP="00327342">
      <w:pPr>
        <w:autoSpaceDE/>
        <w:autoSpaceDN/>
        <w:adjustRightInd/>
        <w:spacing w:after="200" w:line="276" w:lineRule="auto"/>
        <w:jc w:val="left"/>
        <w:rPr>
          <w:lang w:eastAsia="en-US"/>
        </w:rPr>
      </w:pPr>
      <w:r>
        <w:rPr>
          <w:noProof/>
          <w:lang w:eastAsia="fr-FR"/>
        </w:rPr>
        <w:pict>
          <v:rect id="Rectangle 6" o:spid="_x0000_s1026" style="position:absolute;margin-left:308.65pt;margin-top:-4.85pt;width:161.25pt;height:54.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OwgQIAAAYFAAAOAAAAZHJzL2Uyb0RvYy54bWysVNuO0zAQfUfiHyy/d3MhvSRqutptKUJa&#10;YMXCB7i201g4trHdpgvi3xk7bbcLPCBEHhyPPT4+M3PG8+tDJ9GeWye0qnF2lWLEFdVMqG2NP39a&#10;j2YYOU8UI1IrXuNH7vD14uWLeW8qnutWS8YtAhDlqt7UuPXeVEniaMs74q604Qo2G2074sG024RZ&#10;0gN6J5M8TSdJry0zVlPuHKyuhk28iPhNw6n/0DSOeyRrDNx8HG0cN2FMFnNSbS0xraBHGuQfWHRE&#10;KLj0DLUinqCdFb9BdYJa7XTjr6juEt00gvIYA0STpb9E89ASw2MskBxnzmly/w+Wvt/fWyRYjXOM&#10;FOmgRB8haURtJUeTkJ7euAq8Hsy9DQE6c6fpF4eUXrbgxW+s1X3LCQNSWfBPnh0IhoOjaNO/0wzQ&#10;yc7rmKlDY7sACDlAh1iQx3NB+MEjCot5Wkxn0zFGFPYm5fhVPo5XkOp02ljn33DdoTCpsQXuEZ3s&#10;75wPbEh1constRRsLaSMht1ultKiPQFxrON3RHeXblIFZ6XDsQFxWAGScEfYC3Rjsb+XWV6kt3k5&#10;Wk9m01GxLsajcprORmlW3paTtCiL1fpHIJgVVSsY4+pOKH4SXlb8XWGPLTBIJkoP9TUux5CdGNcl&#10;e3cZZBq/PwXZCQ99KEVX49nZiVShsK8Vg7BJ5YmQwzx5Tj9mGXJw+sesRBmEyg8K8ofNAVCCHDaa&#10;PYIgrIZ6QUvC4wGTVttvGPXQiDV2X3fEcozkWwWiKrOiCJ0bjWI8zcGwlzubyx2iKEDV2GM0TJd+&#10;6PadsWLbwk1ZzJHSNyDERkSNPLE6yheaLQZzfBhCN1/a0evp+Vr8BAAA//8DAFBLAwQUAAYACAAA&#10;ACEAv037gt4AAAAJAQAADwAAAGRycy9kb3ducmV2LnhtbEyPQU/DMAyF70j8h8hI3LZ0FDpamk4I&#10;aSfgwIbE1Wu8tqJxSpNu5d9jTnCyrff0/L1yM7tenWgMnWcDq2UCirj2tuPGwPt+u7gHFSKyxd4z&#10;GfimAJvq8qLEwvozv9FpFxslIRwKNNDGOBRah7olh2HpB2LRjn50GOUcG21HPEu46/VNkmTaYcfy&#10;ocWBnlqqP3eTM4DZrf16PaYv++cpw7yZk+3dR2LM9dX8+AAq0hz/zPCLL+hQCdPBT2yD6g1kq3Uq&#10;VgOLfA1KDHmaS5eDLDJ1Ver/DaofAAAA//8DAFBLAQItABQABgAIAAAAIQC2gziS/gAAAOEBAAAT&#10;AAAAAAAAAAAAAAAAAAAAAABbQ29udGVudF9UeXBlc10ueG1sUEsBAi0AFAAGAAgAAAAhADj9If/W&#10;AAAAlAEAAAsAAAAAAAAAAAAAAAAALwEAAF9yZWxzLy5yZWxzUEsBAi0AFAAGAAgAAAAhAHJS87CB&#10;AgAABgUAAA4AAAAAAAAAAAAAAAAALgIAAGRycy9lMm9Eb2MueG1sUEsBAi0AFAAGAAgAAAAhAL9N&#10;+4LeAAAACQEAAA8AAAAAAAAAAAAAAAAA2wQAAGRycy9kb3ducmV2LnhtbFBLBQYAAAAABAAEAPMA&#10;AADmBQAAAAA=&#10;" stroked="f">
            <v:textbox>
              <w:txbxContent>
                <w:p w:rsidR="009721AB" w:rsidRPr="00E6012B" w:rsidRDefault="009721AB" w:rsidP="00327342">
                  <w:pPr>
                    <w:spacing w:after="0" w:line="240" w:lineRule="auto"/>
                    <w:rPr>
                      <w:b/>
                    </w:rPr>
                  </w:pPr>
                </w:p>
                <w:p w:rsidR="009721AB" w:rsidRDefault="009721AB" w:rsidP="00327342">
                  <w:pPr>
                    <w:spacing w:after="0"/>
                    <w:rPr>
                      <w:b/>
                    </w:rPr>
                  </w:pPr>
                  <w:r w:rsidRPr="00E6012B">
                    <w:rPr>
                      <w:b/>
                    </w:rPr>
                    <w:t>RÉPUBLIQUE DU MALI</w:t>
                  </w:r>
                </w:p>
                <w:p w:rsidR="009721AB" w:rsidRDefault="009721AB" w:rsidP="00327342">
                  <w:pPr>
                    <w:spacing w:after="0"/>
                  </w:pPr>
                  <w:r w:rsidRPr="00E6012B">
                    <w:rPr>
                      <w:b/>
                    </w:rPr>
                    <w:t>Un Peuple-Un But-Une Foi</w:t>
                  </w:r>
                </w:p>
              </w:txbxContent>
            </v:textbox>
          </v:rect>
        </w:pict>
      </w:r>
      <w:r>
        <w:rPr>
          <w:noProof/>
          <w:lang w:eastAsia="fr-FR"/>
        </w:rPr>
        <w:pict>
          <v:rect id="Rectangle 4" o:spid="_x0000_s1027" style="position:absolute;margin-left:14.65pt;margin-top:11.25pt;width:250.5pt;height:156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vDgwIAAA4FAAAOAAAAZHJzL2Uyb0RvYy54bWysVFFv2yAQfp+0/4B4T21Sp42tOlWbLNOk&#10;bqvW7QcQwDEaBgYkTjvtv+/ASZpue5im+QFzcHx8d/cdV9e7TqGtcF4aXWNylmMkNDNc6nWNv3xe&#10;jqYY+UA1p8poUeNH4fH17PWrq95WYmxao7hwCEC0r3pb4zYEW2WZZ63oqD8zVmjYbIzraADTrTPu&#10;aA/oncrGeX6R9cZx6wwT3sPqYtjEs4TfNIKFj03jRUCqxsAtpNGlcRXHbHZFq7WjtpVsT4P+A4uO&#10;Sg2XHqEWNFC0cfI3qE4yZ7xpwhkzXWaaRjKRYoBoSP5LNA8ttSLFAsnx9pgm//9g2YftvUOS17jA&#10;SNMOSvQJkkb1WglUxPT01lfg9WDvXQzQ2zvDvnqkzbwFL3HjnOlbQTmQItE/e3EgGh6OolX/3nBA&#10;p5tgUqZ2jesiIOQA7VJBHo8FEbuAGCyekyk5n0DdGOyRckqg5OkOWh2OW+fDW2E6FCc1dkA+wdPt&#10;nQ+RDq0OLom+UZIvpVLJcOvVXDm0paCOZfr26P7UTenorE08NiAOK8AS7oh7kW+q9veSjIv8dlyO&#10;lhfTy1GxLCaj8jKfjnJS3pYXeVEWi+WPSJAUVSs5F/pOanFQHin+rrL7Hhg0k7SH+hqXk/Ekxf6C&#10;vT8NMk/fn4LsZIBGVLKr8fToRKtY2TeaQ9i0ClSqYZ69pJ+yDDk4/FNWkg5i6QcJhd1ql3SWRBJl&#10;sTL8EYThDJQNSgyPCExa454w6qEha+y/bagTGKl3GsRVkqKIHZyMYnI5BsOd7qxOd6hmAFXjgNEw&#10;nYeh6zfWyXULN5GUKm1uQJCNTFJ5ZrWXMTRdimn/QMSuPrWT1/MzNvsJAAD//wMAUEsDBBQABgAI&#10;AAAAIQCu4UP23gAAAAkBAAAPAAAAZHJzL2Rvd25yZXYueG1sTI9BT8MwDIXvSPyHyEjcWLJ2rVhp&#10;OiGknYADGxJXr8naao1TmnQr/x5zYifLfk/P3ys3s+vF2Y6h86RhuVAgLNXedNRo+NxvHx5BhIhk&#10;sPdkNfzYAJvq9qbEwvgLfdjzLjaCQygUqKGNcSikDHVrHYaFHyyxdvSjw8jr2Egz4oXDXS8TpXLp&#10;sCP+0OJgX1pbn3aT04D5yny/H9O3/euU47qZ1Tb7Ulrf383PTyCineO/Gf7wGR0qZjr4iUwQvYZk&#10;nbKTZ5KBYD1LFR8OGtJ0lYGsSnndoPoFAAD//wMAUEsBAi0AFAAGAAgAAAAhALaDOJL+AAAA4QEA&#10;ABMAAAAAAAAAAAAAAAAAAAAAAFtDb250ZW50X1R5cGVzXS54bWxQSwECLQAUAAYACAAAACEAOP0h&#10;/9YAAACUAQAACwAAAAAAAAAAAAAAAAAvAQAAX3JlbHMvLnJlbHNQSwECLQAUAAYACAAAACEA54qr&#10;w4MCAAAOBQAADgAAAAAAAAAAAAAAAAAuAgAAZHJzL2Uyb0RvYy54bWxQSwECLQAUAAYACAAAACEA&#10;ruFD9t4AAAAJAQAADwAAAAAAAAAAAAAAAADdBAAAZHJzL2Rvd25yZXYueG1sUEsFBgAAAAAEAAQA&#10;8wAAAOgFAAAAAA==&#10;" stroked="f">
            <v:textbox>
              <w:txbxContent>
                <w:p w:rsidR="009721AB" w:rsidRDefault="009721AB" w:rsidP="00327342">
                  <w:pPr>
                    <w:spacing w:after="0"/>
                    <w:jc w:val="center"/>
                    <w:rPr>
                      <w:b/>
                    </w:rPr>
                  </w:pPr>
                  <w:r w:rsidRPr="00E6012B">
                    <w:rPr>
                      <w:b/>
                    </w:rPr>
                    <w:t>MINISTÈRE DE LA SANTÉ</w:t>
                  </w:r>
                  <w:r>
                    <w:rPr>
                      <w:b/>
                    </w:rPr>
                    <w:t xml:space="preserve"> ET DE L’HYGIENE PUBLIQUE</w:t>
                  </w:r>
                </w:p>
                <w:p w:rsidR="009721AB" w:rsidRDefault="009721AB" w:rsidP="00327342">
                  <w:pPr>
                    <w:spacing w:after="0"/>
                    <w:jc w:val="center"/>
                    <w:rPr>
                      <w:b/>
                    </w:rPr>
                  </w:pPr>
                  <w:r w:rsidRPr="00E6012B">
                    <w:rPr>
                      <w:b/>
                    </w:rPr>
                    <w:t>*************</w:t>
                  </w:r>
                </w:p>
                <w:p w:rsidR="009721AB" w:rsidRDefault="009721AB" w:rsidP="00327342">
                  <w:pPr>
                    <w:spacing w:after="0"/>
                    <w:jc w:val="center"/>
                    <w:rPr>
                      <w:b/>
                    </w:rPr>
                  </w:pPr>
                  <w:r w:rsidRPr="00E6012B">
                    <w:rPr>
                      <w:b/>
                    </w:rPr>
                    <w:t>CELLULE DE PLANIFICATION</w:t>
                  </w:r>
                  <w:r>
                    <w:rPr>
                      <w:b/>
                    </w:rPr>
                    <w:t xml:space="preserve"> ET DE </w:t>
                  </w:r>
                  <w:r w:rsidRPr="00E6012B">
                    <w:rPr>
                      <w:b/>
                    </w:rPr>
                    <w:t>STATISTIQUE  SECTEUR SANTÉ,DÉVELOP</w:t>
                  </w:r>
                  <w:r>
                    <w:rPr>
                      <w:b/>
                    </w:rPr>
                    <w:t xml:space="preserve">PEMENT SOCIAL ET </w:t>
                  </w:r>
                  <w:r w:rsidRPr="00E6012B">
                    <w:rPr>
                      <w:b/>
                    </w:rPr>
                    <w:t>PROMOTIONDE LA FAMILLE</w:t>
                  </w:r>
                </w:p>
                <w:p w:rsidR="009721AB" w:rsidRPr="00E6012B" w:rsidRDefault="009721AB" w:rsidP="00327342">
                  <w:pPr>
                    <w:spacing w:after="0"/>
                    <w:jc w:val="center"/>
                    <w:rPr>
                      <w:b/>
                    </w:rPr>
                  </w:pPr>
                </w:p>
                <w:p w:rsidR="009721AB" w:rsidRPr="00E6012B" w:rsidRDefault="009721AB" w:rsidP="00327342">
                  <w:pPr>
                    <w:spacing w:after="0" w:line="240" w:lineRule="auto"/>
                    <w:jc w:val="center"/>
                    <w:rPr>
                      <w:b/>
                    </w:rPr>
                  </w:pPr>
                  <w:r w:rsidRPr="00E6012B">
                    <w:rPr>
                      <w:b/>
                    </w:rPr>
                    <w:t>*************</w:t>
                  </w:r>
                </w:p>
                <w:p w:rsidR="009721AB" w:rsidRDefault="009721AB" w:rsidP="00327342"/>
              </w:txbxContent>
            </v:textbox>
          </v:rect>
        </w:pict>
      </w:r>
    </w:p>
    <w:p w:rsidR="00327342" w:rsidRDefault="00EE5FD4" w:rsidP="00327342">
      <w:pPr>
        <w:autoSpaceDE/>
        <w:autoSpaceDN/>
        <w:adjustRightInd/>
        <w:spacing w:after="200" w:line="276" w:lineRule="auto"/>
        <w:jc w:val="left"/>
        <w:rPr>
          <w:lang w:eastAsia="en-US"/>
        </w:rPr>
      </w:pPr>
      <w:r w:rsidRPr="00312BEE">
        <w:rPr>
          <w:noProof/>
          <w:lang w:eastAsia="fr-FR"/>
        </w:rPr>
        <w:drawing>
          <wp:anchor distT="0" distB="0" distL="114300" distR="114300" simplePos="0" relativeHeight="251654656" behindDoc="0" locked="0" layoutInCell="1" allowOverlap="1">
            <wp:simplePos x="0" y="0"/>
            <wp:positionH relativeFrom="margin">
              <wp:posOffset>4029710</wp:posOffset>
            </wp:positionH>
            <wp:positionV relativeFrom="margin">
              <wp:posOffset>638175</wp:posOffset>
            </wp:positionV>
            <wp:extent cx="1657350" cy="1638300"/>
            <wp:effectExtent l="0" t="0" r="0" b="0"/>
            <wp:wrapSquare wrapText="bothSides"/>
            <wp:docPr id="9" name="Image 9" descr="C:\Users\SalahMahamane\Pictures\Sceau de la république du 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hMahamane\Pictures\Sceau de la république du Mali.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anchor>
        </w:drawing>
      </w:r>
    </w:p>
    <w:p w:rsidR="00302D13" w:rsidRDefault="00E72F8E" w:rsidP="00302D13">
      <w:pPr>
        <w:pStyle w:val="Titre1"/>
      </w:pPr>
      <w:bookmarkStart w:id="0" w:name="_Toc413941198"/>
      <w:r>
        <w:rPr>
          <w:noProof/>
          <w:lang w:eastAsia="fr-FR"/>
        </w:rPr>
        <w:pict>
          <v:oval id="Ellipse 3" o:spid="_x0000_s1028" style="position:absolute;left:0;text-align:left;margin-left:51.4pt;margin-top:162.4pt;width:397.5pt;height:92.25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GDdQIAAD8FAAAOAAAAZHJzL2Uyb0RvYy54bWysVEtvGyEQvlfqf0Dcm/W6dpOuso4sp6kq&#10;WUnUpMoZs2CvAgwF7F3313dgH01Sn6peEMN88/6Gy6tWK3IQztdgSpqfTSgRhkNVm21JfzzefLig&#10;xAdmKqbAiJIehadXi/fvLhtbiCnsQFXCEXRifNHYku5CsEWWeb4TmvkzsMKgUoLTLKDotlnlWIPe&#10;tcqmk8mnrAFXWQdceI+v152SLpJ/KQUPd1J6EYgqKeYW0unSuYlntrhkxdYxu6t5nwb7hyw0qw0G&#10;HV1ds8DI3tV/udI1d+BBhjMOOgMpay5SDVhNPnlTzcOOWZFqweZ4O7bJ/z+3/PZw70hd4ewoMUzj&#10;iL4oVVsvyMfYnMb6AjEP9t7F8rxdA3/2qMheaaLge0wrnY5YLI60qdPHsdOiDYTj43wyu5jOcSAc&#10;dXl+ns/P5zFcxorB3DofvgrQJF5KKrqsUpPZYe1Dhx5QfUJdDimbcFQipqHMdyGxQow6TdaJW2Kl&#10;HDkwZAXjXJiQisXoCR3NZK3UaJifMlQh71PusdFMJM6NhpNThq8jjhYpKpgwGuvagDvloHoeI3f4&#10;ofqu5lh+aDdtGut0mOIGqiOO2kG3A97ymxo7u2Y+3DOHpMdp4CKHOzykgqak0N8o2YH7deo94pGL&#10;qKWkwSUqqf+5Z05Qor4ZZOnnfDaLW5eE2fx8ioJ7qdm81Ji9XgFOBJmI2aVrxAc1XKUD/YT7voxR&#10;UcUMx9gl5cENwip0y40/BhfLZYLhplkW1ubB8ug89jnS5rF9Ys729ArIzFsYFo4VbyjWYaOlgeU+&#10;gKwT/2Knu772E8AtTSTuf5T4DbyUE+rPv7f4DQAA//8DAFBLAwQUAAYACAAAACEAaCsDFd8AAAAL&#10;AQAADwAAAGRycy9kb3ducmV2LnhtbEyPwU7DMBBE70j8g7VI3KhNSkqbxqlQBRJCcKBF6tWNlzgi&#10;Xkex04a/ZznBbUY7mn1TbibfiRMOsQ2k4XamQCDVwbbUaPjYP90sQcRkyJouEGr4xgib6vKiNIUN&#10;Z3rH0y41gksoFkaDS6kvpIy1Q2/iLPRIfPsMgzeJ7dBIO5gzl/tOZkotpDct8Qdnetw6rL92o9eQ&#10;54v4PI77/OAeszdn89eXbR+1vr6aHtYgEk7pLwy/+IwOFTMdw0g2io69yhg9aZhndyw4sVzdszhy&#10;vVrNQVal/L+h+gEAAP//AwBQSwECLQAUAAYACAAAACEAtoM4kv4AAADhAQAAEwAAAAAAAAAAAAAA&#10;AAAAAAAAW0NvbnRlbnRfVHlwZXNdLnhtbFBLAQItABQABgAIAAAAIQA4/SH/1gAAAJQBAAALAAAA&#10;AAAAAAAAAAAAAC8BAABfcmVscy8ucmVsc1BLAQItABQABgAIAAAAIQDUfFGDdQIAAD8FAAAOAAAA&#10;AAAAAAAAAAAAAC4CAABkcnMvZTJvRG9jLnhtbFBLAQItABQABgAIAAAAIQBoKwMV3wAAAAsBAAAP&#10;AAAAAAAAAAAAAAAAAM8EAABkcnMvZG93bnJldi54bWxQSwUGAAAAAAQABADzAAAA2wUAAAAA&#10;" fillcolor="white [3201]" strokecolor="#9bbb59 [3206]" strokeweight="2pt">
            <v:path arrowok="t"/>
            <v:textbox>
              <w:txbxContent>
                <w:p w:rsidR="009721AB" w:rsidRPr="00E127ED" w:rsidRDefault="009721AB" w:rsidP="00327342">
                  <w:pPr>
                    <w:jc w:val="center"/>
                    <w:rPr>
                      <w:rFonts w:ascii="Castellar" w:hAnsi="Castellar"/>
                      <w:b/>
                      <w:color w:val="auto"/>
                      <w:sz w:val="40"/>
                      <w:szCs w:val="40"/>
                    </w:rPr>
                  </w:pPr>
                  <w:r w:rsidRPr="0052480B">
                    <w:rPr>
                      <w:rFonts w:ascii="Castellar" w:hAnsi="Castellar"/>
                      <w:b/>
                      <w:color w:val="000000" w:themeColor="text1"/>
                      <w:sz w:val="40"/>
                      <w:szCs w:val="40"/>
                    </w:rPr>
                    <w:t xml:space="preserve">Comptes de la santé du mali, édition </w:t>
                  </w:r>
                  <w:r w:rsidRPr="00E127ED">
                    <w:rPr>
                      <w:rFonts w:ascii="Castellar" w:hAnsi="Castellar"/>
                      <w:b/>
                      <w:color w:val="auto"/>
                      <w:sz w:val="40"/>
                      <w:szCs w:val="40"/>
                    </w:rPr>
                    <w:t>2014</w:t>
                  </w:r>
                </w:p>
              </w:txbxContent>
            </v:textbox>
          </v:oval>
        </w:pict>
      </w:r>
      <w:bookmarkEnd w:id="0"/>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312BEE" w:rsidRDefault="00312BEE" w:rsidP="00312BEE">
      <w:pPr>
        <w:tabs>
          <w:tab w:val="left" w:pos="5529"/>
        </w:tabs>
        <w:autoSpaceDE/>
        <w:autoSpaceDN/>
        <w:adjustRightInd/>
        <w:spacing w:after="200" w:line="276" w:lineRule="auto"/>
        <w:jc w:val="center"/>
        <w:rPr>
          <w:b/>
        </w:rPr>
      </w:pPr>
    </w:p>
    <w:p w:rsidR="00312BEE" w:rsidRDefault="00312BEE" w:rsidP="00312BEE">
      <w:pPr>
        <w:tabs>
          <w:tab w:val="left" w:pos="5529"/>
        </w:tabs>
        <w:autoSpaceDE/>
        <w:autoSpaceDN/>
        <w:adjustRightInd/>
        <w:spacing w:after="200" w:line="276" w:lineRule="auto"/>
        <w:jc w:val="center"/>
        <w:rPr>
          <w:b/>
        </w:rPr>
      </w:pPr>
    </w:p>
    <w:p w:rsidR="00182545" w:rsidRDefault="00182545" w:rsidP="00182545">
      <w:pPr>
        <w:tabs>
          <w:tab w:val="left" w:pos="5529"/>
        </w:tabs>
        <w:autoSpaceDE/>
        <w:autoSpaceDN/>
        <w:adjustRightInd/>
        <w:spacing w:after="200" w:line="276" w:lineRule="auto"/>
        <w:jc w:val="center"/>
        <w:rPr>
          <w:b/>
        </w:rPr>
      </w:pPr>
    </w:p>
    <w:p w:rsidR="00182545" w:rsidRDefault="00182545" w:rsidP="00182545">
      <w:pPr>
        <w:tabs>
          <w:tab w:val="left" w:pos="5529"/>
        </w:tabs>
        <w:autoSpaceDE/>
        <w:autoSpaceDN/>
        <w:adjustRightInd/>
        <w:spacing w:after="200" w:line="276" w:lineRule="auto"/>
        <w:jc w:val="center"/>
        <w:rPr>
          <w:b/>
        </w:rPr>
      </w:pPr>
    </w:p>
    <w:p w:rsidR="00182545" w:rsidRDefault="00182545" w:rsidP="00182545">
      <w:pPr>
        <w:tabs>
          <w:tab w:val="left" w:pos="5529"/>
        </w:tabs>
        <w:autoSpaceDE/>
        <w:autoSpaceDN/>
        <w:adjustRightInd/>
        <w:spacing w:after="0" w:line="276" w:lineRule="auto"/>
        <w:jc w:val="center"/>
        <w:rPr>
          <w:b/>
        </w:rPr>
      </w:pPr>
    </w:p>
    <w:p w:rsidR="00182545" w:rsidRDefault="00182545" w:rsidP="00182545">
      <w:pPr>
        <w:tabs>
          <w:tab w:val="left" w:pos="5529"/>
        </w:tabs>
        <w:autoSpaceDE/>
        <w:autoSpaceDN/>
        <w:adjustRightInd/>
        <w:spacing w:after="0" w:line="276" w:lineRule="auto"/>
        <w:jc w:val="center"/>
        <w:rPr>
          <w:b/>
        </w:rPr>
      </w:pPr>
    </w:p>
    <w:p w:rsidR="0015639D" w:rsidRPr="00E127ED" w:rsidRDefault="006C1F0C" w:rsidP="00182545">
      <w:pPr>
        <w:tabs>
          <w:tab w:val="left" w:pos="5529"/>
        </w:tabs>
        <w:autoSpaceDE/>
        <w:autoSpaceDN/>
        <w:adjustRightInd/>
        <w:spacing w:after="0" w:line="276" w:lineRule="auto"/>
        <w:jc w:val="center"/>
        <w:rPr>
          <w:color w:val="auto"/>
        </w:rPr>
      </w:pPr>
      <w:r w:rsidRPr="004246D2">
        <w:rPr>
          <w:b/>
        </w:rPr>
        <w:t xml:space="preserve">Mars </w:t>
      </w:r>
      <w:r w:rsidRPr="00E127ED">
        <w:rPr>
          <w:b/>
          <w:color w:val="auto"/>
        </w:rPr>
        <w:t>201</w:t>
      </w:r>
      <w:r w:rsidR="00E65404" w:rsidRPr="00E127ED">
        <w:rPr>
          <w:b/>
          <w:color w:val="auto"/>
        </w:rPr>
        <w:t>6</w:t>
      </w:r>
    </w:p>
    <w:p w:rsidR="0015639D" w:rsidRDefault="001554A3">
      <w:pPr>
        <w:autoSpaceDE/>
        <w:autoSpaceDN/>
        <w:adjustRightInd/>
        <w:spacing w:after="200" w:line="276" w:lineRule="auto"/>
        <w:jc w:val="left"/>
        <w:sectPr w:rsidR="0015639D" w:rsidSect="0015639D">
          <w:headerReference w:type="even" r:id="rId9"/>
          <w:headerReference w:type="default" r:id="rId10"/>
          <w:footerReference w:type="default" r:id="rId11"/>
          <w:headerReference w:type="first" r:id="rId12"/>
          <w:pgSz w:w="12240" w:h="15840"/>
          <w:pgMar w:top="1417" w:right="1417" w:bottom="1417" w:left="1417" w:header="340" w:footer="0" w:gutter="0"/>
          <w:pgNumType w:fmt="lowerRoman" w:start="1"/>
          <w:cols w:space="720"/>
          <w:titlePg/>
          <w:docGrid w:linePitch="326"/>
        </w:sectPr>
      </w:pPr>
      <w:r>
        <w:rPr>
          <w:noProof/>
          <w:lang w:eastAsia="fr-FR"/>
        </w:rPr>
        <w:drawing>
          <wp:anchor distT="0" distB="0" distL="114300" distR="114300" simplePos="0" relativeHeight="251655680" behindDoc="0" locked="0" layoutInCell="1" allowOverlap="1">
            <wp:simplePos x="0" y="0"/>
            <wp:positionH relativeFrom="margin">
              <wp:posOffset>3767455</wp:posOffset>
            </wp:positionH>
            <wp:positionV relativeFrom="margin">
              <wp:posOffset>7377430</wp:posOffset>
            </wp:positionV>
            <wp:extent cx="2200275" cy="628650"/>
            <wp:effectExtent l="0" t="0" r="9525" b="0"/>
            <wp:wrapSquare wrapText="bothSides"/>
            <wp:docPr id="7" name="Image 7" descr="logotype_small"/>
            <wp:cNvGraphicFramePr/>
            <a:graphic xmlns:a="http://schemas.openxmlformats.org/drawingml/2006/main">
              <a:graphicData uri="http://schemas.openxmlformats.org/drawingml/2006/picture">
                <pic:pic xmlns:pic="http://schemas.openxmlformats.org/drawingml/2006/picture">
                  <pic:nvPicPr>
                    <pic:cNvPr id="1" name="Image 1" descr="logotype_small"/>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0275" cy="628650"/>
                    </a:xfrm>
                    <a:prstGeom prst="rect">
                      <a:avLst/>
                    </a:prstGeom>
                    <a:noFill/>
                    <a:ln w="9525">
                      <a:noFill/>
                      <a:miter lim="800000"/>
                      <a:headEnd/>
                      <a:tailEnd/>
                    </a:ln>
                  </pic:spPr>
                </pic:pic>
              </a:graphicData>
            </a:graphic>
          </wp:anchor>
        </w:drawing>
      </w:r>
      <w:r w:rsidR="0078644D" w:rsidRPr="004246D2">
        <w:rPr>
          <w:b/>
          <w:noProof/>
          <w:lang w:eastAsia="fr-FR"/>
        </w:rPr>
        <w:drawing>
          <wp:anchor distT="0" distB="0" distL="114300" distR="114300" simplePos="0" relativeHeight="251653632" behindDoc="0" locked="0" layoutInCell="1" allowOverlap="1">
            <wp:simplePos x="0" y="0"/>
            <wp:positionH relativeFrom="margin">
              <wp:posOffset>481330</wp:posOffset>
            </wp:positionH>
            <wp:positionV relativeFrom="margin">
              <wp:posOffset>7134860</wp:posOffset>
            </wp:positionV>
            <wp:extent cx="1952625" cy="962025"/>
            <wp:effectExtent l="38100" t="38100" r="47625" b="47625"/>
            <wp:wrapSquare wrapText="bothSides"/>
            <wp:docPr id="10" name="Image 10" descr="C:\UNFPA\unf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NFPA\unfpa.pn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962025"/>
                    </a:xfrm>
                    <a:prstGeom prst="rect">
                      <a:avLst/>
                    </a:prstGeom>
                    <a:noFill/>
                    <a:ln>
                      <a:noFill/>
                    </a:ln>
                    <a:effectLst>
                      <a:glow rad="127000">
                        <a:schemeClr val="accent1">
                          <a:alpha val="0"/>
                        </a:schemeClr>
                      </a:glow>
                    </a:effectLst>
                  </pic:spPr>
                </pic:pic>
              </a:graphicData>
            </a:graphic>
          </wp:anchor>
        </w:drawing>
      </w:r>
    </w:p>
    <w:p w:rsidR="00D04E78" w:rsidRPr="00746C69" w:rsidRDefault="00C51ADC" w:rsidP="00746C69">
      <w:pPr>
        <w:autoSpaceDE/>
        <w:autoSpaceDN/>
        <w:adjustRightInd/>
        <w:spacing w:after="0" w:line="240" w:lineRule="auto"/>
        <w:jc w:val="left"/>
        <w:rPr>
          <w:rStyle w:val="Titre1Car"/>
          <w:sz w:val="28"/>
          <w:szCs w:val="28"/>
        </w:rPr>
      </w:pPr>
      <w:bookmarkStart w:id="1" w:name="_Toc413941199"/>
      <w:r w:rsidRPr="00746C69">
        <w:rPr>
          <w:rStyle w:val="Titre1Car"/>
          <w:sz w:val="28"/>
          <w:szCs w:val="28"/>
        </w:rPr>
        <w:lastRenderedPageBreak/>
        <w:t>Table des matières</w:t>
      </w:r>
      <w:bookmarkEnd w:id="1"/>
    </w:p>
    <w:sdt>
      <w:sdtPr>
        <w:rPr>
          <w:rFonts w:ascii="Times New Roman" w:eastAsia="Calibri" w:hAnsi="Times New Roman" w:cs="Times New Roman"/>
          <w:b/>
          <w:bCs/>
          <w:color w:val="000000"/>
          <w:sz w:val="22"/>
          <w:szCs w:val="22"/>
          <w:lang w:eastAsia="zh-CN"/>
        </w:rPr>
        <w:id w:val="1360390140"/>
        <w:docPartObj>
          <w:docPartGallery w:val="Table of Contents"/>
          <w:docPartUnique/>
        </w:docPartObj>
      </w:sdtPr>
      <w:sdtContent>
        <w:p w:rsidR="00D04E78" w:rsidRPr="00746C69" w:rsidRDefault="00E72F8E" w:rsidP="00746C69">
          <w:pPr>
            <w:pStyle w:val="En-ttedetabledesmatires"/>
            <w:tabs>
              <w:tab w:val="right" w:leader="dot" w:pos="9396"/>
            </w:tabs>
            <w:spacing w:before="0" w:line="240" w:lineRule="auto"/>
            <w:ind w:left="720"/>
            <w:rPr>
              <w:rFonts w:asciiTheme="minorHAnsi" w:eastAsiaTheme="minorEastAsia" w:hAnsiTheme="minorHAnsi" w:cstheme="minorBidi"/>
              <w:noProof/>
              <w:color w:val="auto"/>
              <w:sz w:val="22"/>
              <w:szCs w:val="22"/>
            </w:rPr>
          </w:pPr>
          <w:r w:rsidRPr="00E72F8E">
            <w:rPr>
              <w:sz w:val="22"/>
              <w:szCs w:val="22"/>
            </w:rPr>
            <w:fldChar w:fldCharType="begin"/>
          </w:r>
          <w:r w:rsidR="00D04E78" w:rsidRPr="00746C69">
            <w:rPr>
              <w:sz w:val="22"/>
              <w:szCs w:val="22"/>
            </w:rPr>
            <w:instrText xml:space="preserve"> TOC \o "1-3" \h \z \u </w:instrText>
          </w:r>
          <w:r w:rsidRPr="00E72F8E">
            <w:rPr>
              <w:sz w:val="22"/>
              <w:szCs w:val="22"/>
            </w:rPr>
            <w:fldChar w:fldCharType="separate"/>
          </w:r>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199" w:history="1">
            <w:r w:rsidR="00D04E78" w:rsidRPr="00746C69">
              <w:rPr>
                <w:rStyle w:val="Lienhypertexte"/>
                <w:noProof/>
                <w:sz w:val="22"/>
                <w:szCs w:val="22"/>
              </w:rPr>
              <w:t>Table des matières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_Toc413941199 \h </w:instrText>
            </w:r>
            <w:r w:rsidRPr="00746C69">
              <w:rPr>
                <w:noProof/>
                <w:webHidden/>
                <w:sz w:val="22"/>
                <w:szCs w:val="22"/>
              </w:rPr>
            </w:r>
            <w:r w:rsidRPr="00746C69">
              <w:rPr>
                <w:noProof/>
                <w:webHidden/>
                <w:sz w:val="22"/>
                <w:szCs w:val="22"/>
              </w:rPr>
              <w:fldChar w:fldCharType="separate"/>
            </w:r>
            <w:r w:rsidR="009D71B0">
              <w:rPr>
                <w:noProof/>
                <w:webHidden/>
                <w:sz w:val="22"/>
                <w:szCs w:val="22"/>
              </w:rPr>
              <w:t>i</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00" w:history="1">
            <w:r w:rsidR="00D04E78" w:rsidRPr="00746C69">
              <w:rPr>
                <w:rStyle w:val="Lienhypertexte"/>
                <w:noProof/>
                <w:sz w:val="22"/>
                <w:szCs w:val="22"/>
              </w:rPr>
              <w:t>Liste des tableaux et graphiques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_Toc413941200 \h </w:instrText>
            </w:r>
            <w:r w:rsidRPr="00746C69">
              <w:rPr>
                <w:noProof/>
                <w:webHidden/>
                <w:sz w:val="22"/>
                <w:szCs w:val="22"/>
              </w:rPr>
            </w:r>
            <w:r w:rsidRPr="00746C69">
              <w:rPr>
                <w:noProof/>
                <w:webHidden/>
                <w:sz w:val="22"/>
                <w:szCs w:val="22"/>
              </w:rPr>
              <w:fldChar w:fldCharType="separate"/>
            </w:r>
            <w:r w:rsidR="009D71B0">
              <w:rPr>
                <w:noProof/>
                <w:webHidden/>
                <w:sz w:val="22"/>
                <w:szCs w:val="22"/>
              </w:rPr>
              <w:t>iii</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01" w:history="1">
            <w:r w:rsidR="00D04E78" w:rsidRPr="00746C69">
              <w:rPr>
                <w:rStyle w:val="Lienhypertexte"/>
                <w:noProof/>
                <w:sz w:val="22"/>
                <w:szCs w:val="22"/>
              </w:rPr>
              <w:t>Préface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_Toc413941201 \h </w:instrText>
            </w:r>
            <w:r w:rsidRPr="00746C69">
              <w:rPr>
                <w:noProof/>
                <w:webHidden/>
                <w:sz w:val="22"/>
                <w:szCs w:val="22"/>
              </w:rPr>
            </w:r>
            <w:r w:rsidRPr="00746C69">
              <w:rPr>
                <w:noProof/>
                <w:webHidden/>
                <w:sz w:val="22"/>
                <w:szCs w:val="22"/>
              </w:rPr>
              <w:fldChar w:fldCharType="separate"/>
            </w:r>
            <w:r w:rsidR="009D71B0">
              <w:rPr>
                <w:noProof/>
                <w:webHidden/>
                <w:sz w:val="22"/>
                <w:szCs w:val="22"/>
              </w:rPr>
              <w:t>v</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02" w:history="1">
            <w:r w:rsidR="00D04E78" w:rsidRPr="00746C69">
              <w:rPr>
                <w:rStyle w:val="Lienhypertexte"/>
                <w:noProof/>
                <w:sz w:val="22"/>
                <w:szCs w:val="22"/>
              </w:rPr>
              <w:t>Remerciements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_Toc413941202 \h </w:instrText>
            </w:r>
            <w:r w:rsidRPr="00746C69">
              <w:rPr>
                <w:noProof/>
                <w:webHidden/>
                <w:sz w:val="22"/>
                <w:szCs w:val="22"/>
              </w:rPr>
            </w:r>
            <w:r w:rsidRPr="00746C69">
              <w:rPr>
                <w:noProof/>
                <w:webHidden/>
                <w:sz w:val="22"/>
                <w:szCs w:val="22"/>
              </w:rPr>
              <w:fldChar w:fldCharType="separate"/>
            </w:r>
            <w:r w:rsidR="009D71B0">
              <w:rPr>
                <w:noProof/>
                <w:webHidden/>
                <w:sz w:val="22"/>
                <w:szCs w:val="22"/>
              </w:rPr>
              <w:t>vii</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03" w:history="1">
            <w:r w:rsidR="00D04E78" w:rsidRPr="00746C69">
              <w:rPr>
                <w:rStyle w:val="Lienhypertexte"/>
                <w:noProof/>
                <w:sz w:val="22"/>
                <w:szCs w:val="22"/>
              </w:rPr>
              <w:t>Sigles et abréviations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_Toc413941203 \h </w:instrText>
            </w:r>
            <w:r w:rsidRPr="00746C69">
              <w:rPr>
                <w:noProof/>
                <w:webHidden/>
                <w:sz w:val="22"/>
                <w:szCs w:val="22"/>
              </w:rPr>
            </w:r>
            <w:r w:rsidRPr="00746C69">
              <w:rPr>
                <w:noProof/>
                <w:webHidden/>
                <w:sz w:val="22"/>
                <w:szCs w:val="22"/>
              </w:rPr>
              <w:fldChar w:fldCharType="separate"/>
            </w:r>
            <w:r w:rsidR="009D71B0">
              <w:rPr>
                <w:noProof/>
                <w:webHidden/>
                <w:sz w:val="22"/>
                <w:szCs w:val="22"/>
              </w:rPr>
              <w:t>viii</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04" w:history="1">
            <w:r w:rsidR="00D04E78" w:rsidRPr="00746C69">
              <w:rPr>
                <w:rStyle w:val="Lienhypertexte"/>
                <w:noProof/>
                <w:sz w:val="22"/>
                <w:szCs w:val="22"/>
              </w:rPr>
              <w:t>Résumé</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_Toc413941204 \h </w:instrText>
            </w:r>
            <w:r w:rsidRPr="00746C69">
              <w:rPr>
                <w:noProof/>
                <w:webHidden/>
                <w:sz w:val="22"/>
                <w:szCs w:val="22"/>
              </w:rPr>
            </w:r>
            <w:r w:rsidRPr="00746C69">
              <w:rPr>
                <w:noProof/>
                <w:webHidden/>
                <w:sz w:val="22"/>
                <w:szCs w:val="22"/>
              </w:rPr>
              <w:fldChar w:fldCharType="separate"/>
            </w:r>
            <w:r w:rsidR="009D71B0">
              <w:rPr>
                <w:noProof/>
                <w:webHidden/>
                <w:sz w:val="22"/>
                <w:szCs w:val="22"/>
              </w:rPr>
              <w:t>xi</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05" w:history="1">
            <w:r w:rsidR="00D04E78" w:rsidRPr="00746C69">
              <w:rPr>
                <w:rStyle w:val="Lienhypertexte"/>
                <w:noProof/>
                <w:sz w:val="22"/>
                <w:szCs w:val="22"/>
              </w:rPr>
              <w:t>Introduction</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_Toc413941205 \h </w:instrText>
            </w:r>
            <w:r w:rsidRPr="00746C69">
              <w:rPr>
                <w:noProof/>
                <w:webHidden/>
                <w:sz w:val="22"/>
                <w:szCs w:val="22"/>
              </w:rPr>
            </w:r>
            <w:r w:rsidRPr="00746C69">
              <w:rPr>
                <w:noProof/>
                <w:webHidden/>
                <w:sz w:val="22"/>
                <w:szCs w:val="22"/>
              </w:rPr>
              <w:fldChar w:fldCharType="separate"/>
            </w:r>
            <w:r w:rsidR="009D71B0">
              <w:rPr>
                <w:noProof/>
                <w:webHidden/>
                <w:sz w:val="22"/>
                <w:szCs w:val="22"/>
              </w:rPr>
              <w:t>13</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06" w:history="1">
            <w:r w:rsidR="00D04E78" w:rsidRPr="00746C69">
              <w:rPr>
                <w:rStyle w:val="Lienhypertexte"/>
                <w:noProof/>
                <w:sz w:val="22"/>
                <w:szCs w:val="22"/>
              </w:rPr>
              <w:t>Objectifs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_Toc413941206 \h </w:instrText>
            </w:r>
            <w:r w:rsidRPr="00746C69">
              <w:rPr>
                <w:noProof/>
                <w:webHidden/>
                <w:sz w:val="22"/>
                <w:szCs w:val="22"/>
              </w:rPr>
            </w:r>
            <w:r w:rsidRPr="00746C69">
              <w:rPr>
                <w:noProof/>
                <w:webHidden/>
                <w:sz w:val="22"/>
                <w:szCs w:val="22"/>
              </w:rPr>
              <w:fldChar w:fldCharType="separate"/>
            </w:r>
            <w:r w:rsidR="009D71B0">
              <w:rPr>
                <w:noProof/>
                <w:webHidden/>
                <w:sz w:val="22"/>
                <w:szCs w:val="22"/>
              </w:rPr>
              <w:t>15</w:t>
            </w:r>
            <w:r w:rsidRPr="00746C69">
              <w:rPr>
                <w:noProof/>
                <w:webHidden/>
                <w:sz w:val="22"/>
                <w:szCs w:val="22"/>
              </w:rPr>
              <w:fldChar w:fldCharType="end"/>
            </w:r>
          </w:hyperlink>
        </w:p>
        <w:p w:rsidR="00D04E78" w:rsidRPr="00746C69" w:rsidRDefault="00E72F8E" w:rsidP="00746C6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07" w:history="1">
            <w:r w:rsidR="00D04E78" w:rsidRPr="00746C69">
              <w:rPr>
                <w:rStyle w:val="Lienhypertexte"/>
                <w:noProof/>
                <w:sz w:val="22"/>
                <w:szCs w:val="22"/>
              </w:rPr>
              <w:t>2.</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Généralités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_Toc413941207 \h </w:instrText>
            </w:r>
            <w:r w:rsidRPr="00746C69">
              <w:rPr>
                <w:noProof/>
                <w:webHidden/>
                <w:sz w:val="22"/>
                <w:szCs w:val="22"/>
              </w:rPr>
            </w:r>
            <w:r w:rsidRPr="00746C69">
              <w:rPr>
                <w:noProof/>
                <w:webHidden/>
                <w:sz w:val="22"/>
                <w:szCs w:val="22"/>
              </w:rPr>
              <w:fldChar w:fldCharType="separate"/>
            </w:r>
            <w:r w:rsidR="009D71B0">
              <w:rPr>
                <w:noProof/>
                <w:webHidden/>
                <w:sz w:val="22"/>
                <w:szCs w:val="22"/>
              </w:rPr>
              <w:t>17</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08" w:history="1">
            <w:r w:rsidR="00D04E78" w:rsidRPr="00746C69">
              <w:rPr>
                <w:rStyle w:val="Lienhypertexte"/>
                <w:b w:val="0"/>
              </w:rPr>
              <w:t>2.1.</w:t>
            </w:r>
            <w:r w:rsidR="00D04E78" w:rsidRPr="00746C69">
              <w:rPr>
                <w:rFonts w:asciiTheme="minorHAnsi" w:eastAsiaTheme="minorEastAsia" w:hAnsiTheme="minorHAnsi" w:cstheme="minorBidi"/>
                <w:b w:val="0"/>
                <w:color w:val="auto"/>
              </w:rPr>
              <w:tab/>
            </w:r>
            <w:r w:rsidR="00D04E78" w:rsidRPr="00746C69">
              <w:rPr>
                <w:rStyle w:val="Lienhypertexte"/>
                <w:b w:val="0"/>
              </w:rPr>
              <w:t>Présentation générale du Mali</w:t>
            </w:r>
            <w:r w:rsidR="00CC2DE6">
              <w:rPr>
                <w:b w:val="0"/>
                <w:webHidden/>
              </w:rPr>
              <w:t>.............................................</w:t>
            </w:r>
            <w:r w:rsidR="009D71B0">
              <w:rPr>
                <w:b w:val="0"/>
                <w:webHidden/>
              </w:rPr>
              <w:t>..............................</w:t>
            </w:r>
            <w:r w:rsidR="00CC2DE6">
              <w:rPr>
                <w:b w:val="0"/>
                <w:webHidden/>
              </w:rPr>
              <w:t>.........</w:t>
            </w:r>
            <w:r w:rsidRPr="00746C69">
              <w:rPr>
                <w:b w:val="0"/>
                <w:webHidden/>
              </w:rPr>
              <w:fldChar w:fldCharType="begin"/>
            </w:r>
            <w:r w:rsidR="00D04E78" w:rsidRPr="00746C69">
              <w:rPr>
                <w:b w:val="0"/>
                <w:webHidden/>
              </w:rPr>
              <w:instrText xml:space="preserve"> PAGEREF _Toc413941208 \h </w:instrText>
            </w:r>
            <w:r w:rsidRPr="00746C69">
              <w:rPr>
                <w:b w:val="0"/>
                <w:webHidden/>
              </w:rPr>
            </w:r>
            <w:r w:rsidRPr="00746C69">
              <w:rPr>
                <w:b w:val="0"/>
                <w:webHidden/>
              </w:rPr>
              <w:fldChar w:fldCharType="separate"/>
            </w:r>
            <w:r w:rsidR="009D71B0">
              <w:rPr>
                <w:b w:val="0"/>
                <w:webHidden/>
              </w:rPr>
              <w:t>17</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09" w:history="1">
            <w:r w:rsidR="00D04E78" w:rsidRPr="00746C69">
              <w:rPr>
                <w:rStyle w:val="Lienhypertexte"/>
                <w:b w:val="0"/>
              </w:rPr>
              <w:t>2.2.</w:t>
            </w:r>
            <w:r w:rsidR="00D04E78" w:rsidRPr="00746C69">
              <w:rPr>
                <w:rFonts w:asciiTheme="minorHAnsi" w:eastAsiaTheme="minorEastAsia" w:hAnsiTheme="minorHAnsi" w:cstheme="minorBidi"/>
                <w:b w:val="0"/>
                <w:color w:val="auto"/>
              </w:rPr>
              <w:tab/>
            </w:r>
            <w:r w:rsidR="00D04E78" w:rsidRPr="00746C69">
              <w:rPr>
                <w:rStyle w:val="Lienhypertexte"/>
                <w:b w:val="0"/>
              </w:rPr>
              <w:t>Présentation du système de santé</w:t>
            </w:r>
            <w:r w:rsidR="00CC2DE6">
              <w:rPr>
                <w:b w:val="0"/>
                <w:webHidden/>
              </w:rPr>
              <w:t>...................................</w:t>
            </w:r>
            <w:r w:rsidR="009D71B0">
              <w:rPr>
                <w:b w:val="0"/>
                <w:webHidden/>
              </w:rPr>
              <w:t>..............................</w:t>
            </w:r>
            <w:r w:rsidR="00CC2DE6">
              <w:rPr>
                <w:b w:val="0"/>
                <w:webHidden/>
              </w:rPr>
              <w:t>............</w:t>
            </w:r>
            <w:r w:rsidRPr="00746C69">
              <w:rPr>
                <w:b w:val="0"/>
                <w:webHidden/>
              </w:rPr>
              <w:fldChar w:fldCharType="begin"/>
            </w:r>
            <w:r w:rsidR="00D04E78" w:rsidRPr="00746C69">
              <w:rPr>
                <w:b w:val="0"/>
                <w:webHidden/>
              </w:rPr>
              <w:instrText xml:space="preserve"> PAGEREF _Toc413941209 \h </w:instrText>
            </w:r>
            <w:r w:rsidRPr="00746C69">
              <w:rPr>
                <w:b w:val="0"/>
                <w:webHidden/>
              </w:rPr>
            </w:r>
            <w:r w:rsidRPr="00746C69">
              <w:rPr>
                <w:b w:val="0"/>
                <w:webHidden/>
              </w:rPr>
              <w:fldChar w:fldCharType="separate"/>
            </w:r>
            <w:r w:rsidR="009D71B0">
              <w:rPr>
                <w:b w:val="0"/>
                <w:webHidden/>
              </w:rPr>
              <w:t>17</w:t>
            </w:r>
            <w:r w:rsidRPr="00746C69">
              <w:rPr>
                <w:b w:val="0"/>
                <w:webHidden/>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10" w:history="1">
            <w:r w:rsidR="00D04E78" w:rsidRPr="00746C69">
              <w:rPr>
                <w:rStyle w:val="Lienhypertexte"/>
                <w:noProof/>
                <w:sz w:val="22"/>
                <w:szCs w:val="22"/>
              </w:rPr>
              <w:t>2.2.1.</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Organisation du système de santé au Mali</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_Toc413941210 \h </w:instrText>
            </w:r>
            <w:r w:rsidRPr="00746C69">
              <w:rPr>
                <w:noProof/>
                <w:webHidden/>
                <w:sz w:val="22"/>
                <w:szCs w:val="22"/>
              </w:rPr>
            </w:r>
            <w:r w:rsidRPr="00746C69">
              <w:rPr>
                <w:noProof/>
                <w:webHidden/>
                <w:sz w:val="22"/>
                <w:szCs w:val="22"/>
              </w:rPr>
              <w:fldChar w:fldCharType="separate"/>
            </w:r>
            <w:r w:rsidR="009D71B0">
              <w:rPr>
                <w:noProof/>
                <w:webHidden/>
                <w:sz w:val="22"/>
                <w:szCs w:val="22"/>
              </w:rPr>
              <w:t>17</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11" w:history="1">
            <w:r w:rsidR="00D04E78" w:rsidRPr="00746C69">
              <w:rPr>
                <w:rStyle w:val="Lienhypertexte"/>
                <w:noProof/>
                <w:sz w:val="22"/>
                <w:szCs w:val="22"/>
              </w:rPr>
              <w:t>2.2.2.</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Circuit du médicament au Mali</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_Toc413941211 \h </w:instrText>
            </w:r>
            <w:r w:rsidRPr="00746C69">
              <w:rPr>
                <w:noProof/>
                <w:webHidden/>
                <w:sz w:val="22"/>
                <w:szCs w:val="22"/>
              </w:rPr>
            </w:r>
            <w:r w:rsidRPr="00746C69">
              <w:rPr>
                <w:noProof/>
                <w:webHidden/>
                <w:sz w:val="22"/>
                <w:szCs w:val="22"/>
              </w:rPr>
              <w:fldChar w:fldCharType="separate"/>
            </w:r>
            <w:r w:rsidR="009D71B0">
              <w:rPr>
                <w:noProof/>
                <w:webHidden/>
                <w:sz w:val="22"/>
                <w:szCs w:val="22"/>
              </w:rPr>
              <w:t>18</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12" w:history="1">
            <w:r w:rsidR="00D04E78" w:rsidRPr="00746C69">
              <w:rPr>
                <w:rStyle w:val="Lienhypertexte"/>
                <w:noProof/>
                <w:sz w:val="22"/>
                <w:szCs w:val="22"/>
              </w:rPr>
              <w:t>2.2.3.</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Situation sur les politiques de gratuité</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_Toc413941212 \h </w:instrText>
            </w:r>
            <w:r w:rsidRPr="00746C69">
              <w:rPr>
                <w:noProof/>
                <w:webHidden/>
                <w:sz w:val="22"/>
                <w:szCs w:val="22"/>
              </w:rPr>
            </w:r>
            <w:r w:rsidRPr="00746C69">
              <w:rPr>
                <w:noProof/>
                <w:webHidden/>
                <w:sz w:val="22"/>
                <w:szCs w:val="22"/>
              </w:rPr>
              <w:fldChar w:fldCharType="separate"/>
            </w:r>
            <w:r w:rsidR="009D71B0">
              <w:rPr>
                <w:noProof/>
                <w:webHidden/>
                <w:sz w:val="22"/>
                <w:szCs w:val="22"/>
              </w:rPr>
              <w:t>18</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13" w:history="1">
            <w:r w:rsidR="00D04E78" w:rsidRPr="00746C69">
              <w:rPr>
                <w:rStyle w:val="Lienhypertexte"/>
                <w:b w:val="0"/>
              </w:rPr>
              <w:t>2.3.</w:t>
            </w:r>
            <w:r w:rsidR="00D04E78" w:rsidRPr="00746C69">
              <w:rPr>
                <w:rFonts w:asciiTheme="minorHAnsi" w:eastAsiaTheme="minorEastAsia" w:hAnsiTheme="minorHAnsi" w:cstheme="minorBidi"/>
                <w:b w:val="0"/>
                <w:color w:val="auto"/>
              </w:rPr>
              <w:tab/>
            </w:r>
            <w:r w:rsidR="00D04E78" w:rsidRPr="00746C69">
              <w:rPr>
                <w:rStyle w:val="Lienhypertexte"/>
                <w:b w:val="0"/>
              </w:rPr>
              <w:t>Evolution des indicateurs de couverture</w:t>
            </w:r>
            <w:r w:rsidR="00CC2DE6">
              <w:rPr>
                <w:b w:val="0"/>
                <w:webHidden/>
              </w:rPr>
              <w:t>.........................</w:t>
            </w:r>
            <w:r w:rsidR="009D71B0">
              <w:rPr>
                <w:b w:val="0"/>
                <w:webHidden/>
              </w:rPr>
              <w:t>..............................</w:t>
            </w:r>
            <w:r w:rsidR="00CC2DE6">
              <w:rPr>
                <w:b w:val="0"/>
                <w:webHidden/>
              </w:rPr>
              <w:t>.............</w:t>
            </w:r>
            <w:r w:rsidRPr="00746C69">
              <w:rPr>
                <w:b w:val="0"/>
                <w:webHidden/>
              </w:rPr>
              <w:fldChar w:fldCharType="begin"/>
            </w:r>
            <w:r w:rsidR="00D04E78" w:rsidRPr="00746C69">
              <w:rPr>
                <w:b w:val="0"/>
                <w:webHidden/>
              </w:rPr>
              <w:instrText xml:space="preserve"> PAGEREF _Toc413941213 \h </w:instrText>
            </w:r>
            <w:r w:rsidRPr="00746C69">
              <w:rPr>
                <w:b w:val="0"/>
                <w:webHidden/>
              </w:rPr>
            </w:r>
            <w:r w:rsidRPr="00746C69">
              <w:rPr>
                <w:b w:val="0"/>
                <w:webHidden/>
              </w:rPr>
              <w:fldChar w:fldCharType="separate"/>
            </w:r>
            <w:r w:rsidR="009D71B0">
              <w:rPr>
                <w:b w:val="0"/>
                <w:webHidden/>
              </w:rPr>
              <w:t>19</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14" w:history="1">
            <w:r w:rsidR="00D04E78" w:rsidRPr="00746C69">
              <w:rPr>
                <w:rStyle w:val="Lienhypertexte"/>
                <w:b w:val="0"/>
              </w:rPr>
              <w:t>2.4.</w:t>
            </w:r>
            <w:r w:rsidR="00D04E78" w:rsidRPr="00746C69">
              <w:rPr>
                <w:rFonts w:asciiTheme="minorHAnsi" w:eastAsiaTheme="minorEastAsia" w:hAnsiTheme="minorHAnsi" w:cstheme="minorBidi"/>
                <w:b w:val="0"/>
                <w:color w:val="auto"/>
              </w:rPr>
              <w:tab/>
            </w:r>
            <w:r w:rsidR="00D04E78" w:rsidRPr="00746C69">
              <w:rPr>
                <w:rStyle w:val="Lienhypertexte"/>
                <w:b w:val="0"/>
              </w:rPr>
              <w:t>Financement du système</w:t>
            </w:r>
            <w:r w:rsidR="00CC2DE6">
              <w:rPr>
                <w:b w:val="0"/>
                <w:webHidden/>
              </w:rPr>
              <w:t>...............................................</w:t>
            </w:r>
            <w:r w:rsidR="009D71B0">
              <w:rPr>
                <w:b w:val="0"/>
                <w:webHidden/>
              </w:rPr>
              <w:t>..............................</w:t>
            </w:r>
            <w:r w:rsidR="00CC2DE6">
              <w:rPr>
                <w:b w:val="0"/>
                <w:webHidden/>
              </w:rPr>
              <w:t>..............</w:t>
            </w:r>
            <w:r w:rsidRPr="00746C69">
              <w:rPr>
                <w:b w:val="0"/>
                <w:webHidden/>
              </w:rPr>
              <w:fldChar w:fldCharType="begin"/>
            </w:r>
            <w:r w:rsidR="00D04E78" w:rsidRPr="00746C69">
              <w:rPr>
                <w:b w:val="0"/>
                <w:webHidden/>
              </w:rPr>
              <w:instrText xml:space="preserve"> PAGEREF _Toc413941214 \h </w:instrText>
            </w:r>
            <w:r w:rsidRPr="00746C69">
              <w:rPr>
                <w:b w:val="0"/>
                <w:webHidden/>
              </w:rPr>
            </w:r>
            <w:r w:rsidRPr="00746C69">
              <w:rPr>
                <w:b w:val="0"/>
                <w:webHidden/>
              </w:rPr>
              <w:fldChar w:fldCharType="separate"/>
            </w:r>
            <w:r w:rsidR="009D71B0">
              <w:rPr>
                <w:b w:val="0"/>
                <w:webHidden/>
              </w:rPr>
              <w:t>20</w:t>
            </w:r>
            <w:r w:rsidRPr="00746C69">
              <w:rPr>
                <w:b w:val="0"/>
                <w:webHidden/>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15" w:history="1">
            <w:r w:rsidR="00D04E78" w:rsidRPr="00746C69">
              <w:rPr>
                <w:rStyle w:val="Lienhypertexte"/>
                <w:noProof/>
                <w:sz w:val="22"/>
                <w:szCs w:val="22"/>
              </w:rPr>
              <w:t>2.4.1.</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Etat</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_Toc413941215 \h </w:instrText>
            </w:r>
            <w:r w:rsidRPr="00746C69">
              <w:rPr>
                <w:noProof/>
                <w:webHidden/>
                <w:sz w:val="22"/>
                <w:szCs w:val="22"/>
              </w:rPr>
            </w:r>
            <w:r w:rsidRPr="00746C69">
              <w:rPr>
                <w:noProof/>
                <w:webHidden/>
                <w:sz w:val="22"/>
                <w:szCs w:val="22"/>
              </w:rPr>
              <w:fldChar w:fldCharType="separate"/>
            </w:r>
            <w:r w:rsidR="009D71B0">
              <w:rPr>
                <w:noProof/>
                <w:webHidden/>
                <w:sz w:val="22"/>
                <w:szCs w:val="22"/>
              </w:rPr>
              <w:t>20</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16" w:history="1">
            <w:r w:rsidR="00D04E78" w:rsidRPr="00746C69">
              <w:rPr>
                <w:rStyle w:val="Lienhypertexte"/>
                <w:noProof/>
                <w:sz w:val="22"/>
                <w:szCs w:val="22"/>
              </w:rPr>
              <w:t>2.4.2.</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Partenaires extérieurs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_Toc413941216 \h </w:instrText>
            </w:r>
            <w:r w:rsidRPr="00746C69">
              <w:rPr>
                <w:noProof/>
                <w:webHidden/>
                <w:sz w:val="22"/>
                <w:szCs w:val="22"/>
              </w:rPr>
            </w:r>
            <w:r w:rsidRPr="00746C69">
              <w:rPr>
                <w:noProof/>
                <w:webHidden/>
                <w:sz w:val="22"/>
                <w:szCs w:val="22"/>
              </w:rPr>
              <w:fldChar w:fldCharType="separate"/>
            </w:r>
            <w:r w:rsidR="009D71B0">
              <w:rPr>
                <w:noProof/>
                <w:webHidden/>
                <w:sz w:val="22"/>
                <w:szCs w:val="22"/>
              </w:rPr>
              <w:t>21</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17" w:history="1">
            <w:r w:rsidR="00D04E78" w:rsidRPr="00746C69">
              <w:rPr>
                <w:rStyle w:val="Lienhypertexte"/>
                <w:noProof/>
                <w:sz w:val="22"/>
                <w:szCs w:val="22"/>
              </w:rPr>
              <w:t>2.4.3.</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Collectivités territoriales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_Toc413941217 \h </w:instrText>
            </w:r>
            <w:r w:rsidRPr="00746C69">
              <w:rPr>
                <w:noProof/>
                <w:webHidden/>
                <w:sz w:val="22"/>
                <w:szCs w:val="22"/>
              </w:rPr>
            </w:r>
            <w:r w:rsidRPr="00746C69">
              <w:rPr>
                <w:noProof/>
                <w:webHidden/>
                <w:sz w:val="22"/>
                <w:szCs w:val="22"/>
              </w:rPr>
              <w:fldChar w:fldCharType="separate"/>
            </w:r>
            <w:r w:rsidR="009D71B0">
              <w:rPr>
                <w:noProof/>
                <w:webHidden/>
                <w:sz w:val="22"/>
                <w:szCs w:val="22"/>
              </w:rPr>
              <w:t>21</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18" w:history="1">
            <w:r w:rsidR="00D04E78" w:rsidRPr="00746C69">
              <w:rPr>
                <w:rStyle w:val="Lienhypertexte"/>
                <w:noProof/>
                <w:sz w:val="22"/>
                <w:szCs w:val="22"/>
              </w:rPr>
              <w:t>2.4.4.</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Assurance et Mutuelles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_Toc413941218 \h </w:instrText>
            </w:r>
            <w:r w:rsidRPr="00746C69">
              <w:rPr>
                <w:noProof/>
                <w:webHidden/>
                <w:sz w:val="22"/>
                <w:szCs w:val="22"/>
              </w:rPr>
            </w:r>
            <w:r w:rsidRPr="00746C69">
              <w:rPr>
                <w:noProof/>
                <w:webHidden/>
                <w:sz w:val="22"/>
                <w:szCs w:val="22"/>
              </w:rPr>
              <w:fldChar w:fldCharType="separate"/>
            </w:r>
            <w:r w:rsidR="009D71B0">
              <w:rPr>
                <w:noProof/>
                <w:webHidden/>
                <w:sz w:val="22"/>
                <w:szCs w:val="22"/>
              </w:rPr>
              <w:t>21</w:t>
            </w:r>
            <w:r w:rsidRPr="00746C69">
              <w:rPr>
                <w:noProof/>
                <w:webHidden/>
                <w:sz w:val="22"/>
                <w:szCs w:val="22"/>
              </w:rPr>
              <w:fldChar w:fldCharType="end"/>
            </w:r>
          </w:hyperlink>
        </w:p>
        <w:p w:rsidR="00D04E78" w:rsidRPr="00746C69" w:rsidRDefault="00E72F8E" w:rsidP="00746C6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19" w:history="1">
            <w:r w:rsidR="00D04E78" w:rsidRPr="00746C69">
              <w:rPr>
                <w:rStyle w:val="Lienhypertexte"/>
                <w:noProof/>
                <w:sz w:val="22"/>
                <w:szCs w:val="22"/>
              </w:rPr>
              <w:t>3.</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Méthodologie et sources de Données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_Toc413941219 \h </w:instrText>
            </w:r>
            <w:r w:rsidRPr="00746C69">
              <w:rPr>
                <w:noProof/>
                <w:webHidden/>
                <w:sz w:val="22"/>
                <w:szCs w:val="22"/>
              </w:rPr>
            </w:r>
            <w:r w:rsidRPr="00746C69">
              <w:rPr>
                <w:noProof/>
                <w:webHidden/>
                <w:sz w:val="22"/>
                <w:szCs w:val="22"/>
              </w:rPr>
              <w:fldChar w:fldCharType="separate"/>
            </w:r>
            <w:r w:rsidR="009D71B0">
              <w:rPr>
                <w:noProof/>
                <w:webHidden/>
                <w:sz w:val="22"/>
                <w:szCs w:val="22"/>
              </w:rPr>
              <w:t>22</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20" w:history="1">
            <w:r w:rsidR="00D04E78" w:rsidRPr="00746C69">
              <w:rPr>
                <w:rStyle w:val="Lienhypertexte"/>
                <w:b w:val="0"/>
              </w:rPr>
              <w:t>3.1.</w:t>
            </w:r>
            <w:r w:rsidR="00D04E78" w:rsidRPr="00746C69">
              <w:rPr>
                <w:rFonts w:asciiTheme="minorHAnsi" w:eastAsiaTheme="minorEastAsia" w:hAnsiTheme="minorHAnsi" w:cstheme="minorBidi"/>
                <w:b w:val="0"/>
                <w:color w:val="auto"/>
              </w:rPr>
              <w:tab/>
            </w:r>
            <w:r w:rsidR="00D04E78" w:rsidRPr="00746C69">
              <w:rPr>
                <w:rStyle w:val="Lienhypertexte"/>
                <w:b w:val="0"/>
              </w:rPr>
              <w:t>Définitions des concepts du SHA 2011</w:t>
            </w:r>
            <w:r w:rsidR="00CC2DE6">
              <w:rPr>
                <w:b w:val="0"/>
                <w:webHidden/>
              </w:rPr>
              <w:t>......</w:t>
            </w:r>
            <w:r w:rsidR="00746C69">
              <w:rPr>
                <w:b w:val="0"/>
                <w:webHidden/>
              </w:rPr>
              <w:t>...............................................................</w:t>
            </w:r>
            <w:r w:rsidRPr="00746C69">
              <w:rPr>
                <w:b w:val="0"/>
                <w:webHidden/>
              </w:rPr>
              <w:fldChar w:fldCharType="begin"/>
            </w:r>
            <w:r w:rsidR="00D04E78" w:rsidRPr="00746C69">
              <w:rPr>
                <w:b w:val="0"/>
                <w:webHidden/>
              </w:rPr>
              <w:instrText xml:space="preserve"> PAGEREF _Toc413941220 \h </w:instrText>
            </w:r>
            <w:r w:rsidRPr="00746C69">
              <w:rPr>
                <w:b w:val="0"/>
                <w:webHidden/>
              </w:rPr>
            </w:r>
            <w:r w:rsidRPr="00746C69">
              <w:rPr>
                <w:b w:val="0"/>
                <w:webHidden/>
              </w:rPr>
              <w:fldChar w:fldCharType="separate"/>
            </w:r>
            <w:r w:rsidR="009D71B0">
              <w:rPr>
                <w:b w:val="0"/>
                <w:webHidden/>
              </w:rPr>
              <w:t>22</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21" w:history="1">
            <w:r w:rsidR="00D04E78" w:rsidRPr="00746C69">
              <w:rPr>
                <w:rStyle w:val="Lienhypertexte"/>
                <w:b w:val="0"/>
              </w:rPr>
              <w:t>3.2.</w:t>
            </w:r>
            <w:r w:rsidR="00D04E78" w:rsidRPr="00746C69">
              <w:rPr>
                <w:rFonts w:asciiTheme="minorHAnsi" w:eastAsiaTheme="minorEastAsia" w:hAnsiTheme="minorHAnsi" w:cstheme="minorBidi"/>
                <w:b w:val="0"/>
                <w:color w:val="auto"/>
              </w:rPr>
              <w:tab/>
            </w:r>
            <w:r w:rsidR="00D04E78" w:rsidRPr="00746C69">
              <w:rPr>
                <w:rStyle w:val="Lienhypertexte"/>
                <w:b w:val="0"/>
              </w:rPr>
              <w:t>Utilité des comptes de la santé</w:t>
            </w:r>
            <w:r w:rsidR="00746C69">
              <w:rPr>
                <w:b w:val="0"/>
                <w:webHidden/>
              </w:rPr>
              <w:t>..................................................................................</w:t>
            </w:r>
            <w:r w:rsidRPr="00746C69">
              <w:rPr>
                <w:b w:val="0"/>
                <w:webHidden/>
              </w:rPr>
              <w:fldChar w:fldCharType="begin"/>
            </w:r>
            <w:r w:rsidR="00D04E78" w:rsidRPr="00746C69">
              <w:rPr>
                <w:b w:val="0"/>
                <w:webHidden/>
              </w:rPr>
              <w:instrText xml:space="preserve"> PAGEREF _Toc413941221 \h </w:instrText>
            </w:r>
            <w:r w:rsidRPr="00746C69">
              <w:rPr>
                <w:b w:val="0"/>
                <w:webHidden/>
              </w:rPr>
            </w:r>
            <w:r w:rsidRPr="00746C69">
              <w:rPr>
                <w:b w:val="0"/>
                <w:webHidden/>
              </w:rPr>
              <w:fldChar w:fldCharType="separate"/>
            </w:r>
            <w:r w:rsidR="009D71B0">
              <w:rPr>
                <w:b w:val="0"/>
                <w:webHidden/>
              </w:rPr>
              <w:t>23</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22" w:history="1">
            <w:r w:rsidR="00D04E78" w:rsidRPr="00746C69">
              <w:rPr>
                <w:rStyle w:val="Lienhypertexte"/>
                <w:b w:val="0"/>
              </w:rPr>
              <w:t>3.3.</w:t>
            </w:r>
            <w:r w:rsidR="00D04E78" w:rsidRPr="00746C69">
              <w:rPr>
                <w:rFonts w:asciiTheme="minorHAnsi" w:eastAsiaTheme="minorEastAsia" w:hAnsiTheme="minorHAnsi" w:cstheme="minorBidi"/>
                <w:b w:val="0"/>
                <w:color w:val="auto"/>
              </w:rPr>
              <w:tab/>
            </w:r>
            <w:r w:rsidR="00D04E78" w:rsidRPr="00746C69">
              <w:rPr>
                <w:rStyle w:val="Lienhypertexte"/>
                <w:b w:val="0"/>
              </w:rPr>
              <w:t>Processus d’élaboration des comptes de la santé</w:t>
            </w:r>
            <w:r w:rsidR="00746C69">
              <w:rPr>
                <w:b w:val="0"/>
                <w:webHidden/>
              </w:rPr>
              <w:t>.....................................................</w:t>
            </w:r>
            <w:r w:rsidRPr="00746C69">
              <w:rPr>
                <w:b w:val="0"/>
                <w:webHidden/>
              </w:rPr>
              <w:fldChar w:fldCharType="begin"/>
            </w:r>
            <w:r w:rsidR="00D04E78" w:rsidRPr="00746C69">
              <w:rPr>
                <w:b w:val="0"/>
                <w:webHidden/>
              </w:rPr>
              <w:instrText xml:space="preserve"> PAGEREF _Toc413941222 \h </w:instrText>
            </w:r>
            <w:r w:rsidRPr="00746C69">
              <w:rPr>
                <w:b w:val="0"/>
                <w:webHidden/>
              </w:rPr>
            </w:r>
            <w:r w:rsidRPr="00746C69">
              <w:rPr>
                <w:b w:val="0"/>
                <w:webHidden/>
              </w:rPr>
              <w:fldChar w:fldCharType="separate"/>
            </w:r>
            <w:r w:rsidR="009D71B0">
              <w:rPr>
                <w:b w:val="0"/>
                <w:webHidden/>
              </w:rPr>
              <w:t>25</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23" w:history="1">
            <w:r w:rsidR="00D04E78" w:rsidRPr="00746C69">
              <w:rPr>
                <w:rStyle w:val="Lienhypertexte"/>
                <w:b w:val="0"/>
              </w:rPr>
              <w:t>3.4.</w:t>
            </w:r>
            <w:r w:rsidR="00D04E78" w:rsidRPr="00746C69">
              <w:rPr>
                <w:rFonts w:asciiTheme="minorHAnsi" w:eastAsiaTheme="minorEastAsia" w:hAnsiTheme="minorHAnsi" w:cstheme="minorBidi"/>
                <w:b w:val="0"/>
                <w:color w:val="auto"/>
              </w:rPr>
              <w:tab/>
            </w:r>
            <w:r w:rsidR="00D04E78" w:rsidRPr="00746C69">
              <w:rPr>
                <w:rStyle w:val="Lienhypertexte"/>
                <w:b w:val="0"/>
              </w:rPr>
              <w:t>Collecte de données et méthodes</w:t>
            </w:r>
            <w:r w:rsidR="00746C69">
              <w:rPr>
                <w:b w:val="0"/>
                <w:webHidden/>
              </w:rPr>
              <w:t>..............................................................................</w:t>
            </w:r>
            <w:r w:rsidRPr="00746C69">
              <w:rPr>
                <w:b w:val="0"/>
                <w:webHidden/>
              </w:rPr>
              <w:fldChar w:fldCharType="begin"/>
            </w:r>
            <w:r w:rsidR="00D04E78" w:rsidRPr="00746C69">
              <w:rPr>
                <w:b w:val="0"/>
                <w:webHidden/>
              </w:rPr>
              <w:instrText xml:space="preserve"> PAGEREF _Toc413941223 \h </w:instrText>
            </w:r>
            <w:r w:rsidRPr="00746C69">
              <w:rPr>
                <w:b w:val="0"/>
                <w:webHidden/>
              </w:rPr>
            </w:r>
            <w:r w:rsidRPr="00746C69">
              <w:rPr>
                <w:b w:val="0"/>
                <w:webHidden/>
              </w:rPr>
              <w:fldChar w:fldCharType="separate"/>
            </w:r>
            <w:r w:rsidR="009D71B0">
              <w:rPr>
                <w:b w:val="0"/>
                <w:webHidden/>
              </w:rPr>
              <w:t>25</w:t>
            </w:r>
            <w:r w:rsidRPr="00746C69">
              <w:rPr>
                <w:b w:val="0"/>
                <w:webHidden/>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24" w:history="1">
            <w:r w:rsidR="00D04E78" w:rsidRPr="00746C69">
              <w:rPr>
                <w:rStyle w:val="Lienhypertexte"/>
                <w:noProof/>
                <w:sz w:val="22"/>
                <w:szCs w:val="22"/>
              </w:rPr>
              <w:t>3.4.1.</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Collecte des données primaires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_Toc413941224 \h </w:instrText>
            </w:r>
            <w:r w:rsidRPr="00746C69">
              <w:rPr>
                <w:noProof/>
                <w:webHidden/>
                <w:sz w:val="22"/>
                <w:szCs w:val="22"/>
              </w:rPr>
            </w:r>
            <w:r w:rsidRPr="00746C69">
              <w:rPr>
                <w:noProof/>
                <w:webHidden/>
                <w:sz w:val="22"/>
                <w:szCs w:val="22"/>
              </w:rPr>
              <w:fldChar w:fldCharType="separate"/>
            </w:r>
            <w:r w:rsidR="009D71B0">
              <w:rPr>
                <w:noProof/>
                <w:webHidden/>
                <w:sz w:val="22"/>
                <w:szCs w:val="22"/>
              </w:rPr>
              <w:t>25</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25" w:history="1">
            <w:r w:rsidR="00D04E78" w:rsidRPr="00746C69">
              <w:rPr>
                <w:rStyle w:val="Lienhypertexte"/>
                <w:noProof/>
                <w:sz w:val="22"/>
                <w:szCs w:val="22"/>
              </w:rPr>
              <w:t>3.4.2.</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Collecte des données secondaires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_Toc413941225 \h </w:instrText>
            </w:r>
            <w:r w:rsidRPr="00746C69">
              <w:rPr>
                <w:noProof/>
                <w:webHidden/>
                <w:sz w:val="22"/>
                <w:szCs w:val="22"/>
              </w:rPr>
            </w:r>
            <w:r w:rsidRPr="00746C69">
              <w:rPr>
                <w:noProof/>
                <w:webHidden/>
                <w:sz w:val="22"/>
                <w:szCs w:val="22"/>
              </w:rPr>
              <w:fldChar w:fldCharType="separate"/>
            </w:r>
            <w:r w:rsidR="009D71B0">
              <w:rPr>
                <w:noProof/>
                <w:webHidden/>
                <w:sz w:val="22"/>
                <w:szCs w:val="22"/>
              </w:rPr>
              <w:t>26</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26" w:history="1">
            <w:r w:rsidR="00D04E78" w:rsidRPr="00746C69">
              <w:rPr>
                <w:rStyle w:val="Lienhypertexte"/>
                <w:noProof/>
                <w:sz w:val="22"/>
                <w:szCs w:val="22"/>
              </w:rPr>
              <w:t>3.4.3.</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Estimation des dépenses de santé des ménages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_Toc413941226 \h </w:instrText>
            </w:r>
            <w:r w:rsidRPr="00746C69">
              <w:rPr>
                <w:noProof/>
                <w:webHidden/>
                <w:sz w:val="22"/>
                <w:szCs w:val="22"/>
              </w:rPr>
            </w:r>
            <w:r w:rsidRPr="00746C69">
              <w:rPr>
                <w:noProof/>
                <w:webHidden/>
                <w:sz w:val="22"/>
                <w:szCs w:val="22"/>
              </w:rPr>
              <w:fldChar w:fldCharType="separate"/>
            </w:r>
            <w:r w:rsidR="009D71B0">
              <w:rPr>
                <w:noProof/>
                <w:webHidden/>
                <w:sz w:val="22"/>
                <w:szCs w:val="22"/>
              </w:rPr>
              <w:t>26</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27" w:history="1">
            <w:r w:rsidR="00D04E78" w:rsidRPr="00746C69">
              <w:rPr>
                <w:rStyle w:val="Lienhypertexte"/>
                <w:b w:val="0"/>
              </w:rPr>
              <w:t>3.5.</w:t>
            </w:r>
            <w:r w:rsidR="00D04E78" w:rsidRPr="00746C69">
              <w:rPr>
                <w:rFonts w:asciiTheme="minorHAnsi" w:eastAsiaTheme="minorEastAsia" w:hAnsiTheme="minorHAnsi" w:cstheme="minorBidi"/>
                <w:b w:val="0"/>
                <w:color w:val="auto"/>
              </w:rPr>
              <w:tab/>
            </w:r>
            <w:r w:rsidR="00D04E78" w:rsidRPr="00746C69">
              <w:rPr>
                <w:rStyle w:val="Lienhypertexte"/>
                <w:b w:val="0"/>
              </w:rPr>
              <w:t>Elaboration des clés de répartition</w:t>
            </w:r>
            <w:r w:rsidR="00746C69">
              <w:rPr>
                <w:b w:val="0"/>
                <w:webHidden/>
              </w:rPr>
              <w:t>.............................................................................</w:t>
            </w:r>
            <w:r w:rsidRPr="00746C69">
              <w:rPr>
                <w:b w:val="0"/>
                <w:webHidden/>
              </w:rPr>
              <w:fldChar w:fldCharType="begin"/>
            </w:r>
            <w:r w:rsidR="00D04E78" w:rsidRPr="00746C69">
              <w:rPr>
                <w:b w:val="0"/>
                <w:webHidden/>
              </w:rPr>
              <w:instrText xml:space="preserve"> PAGEREF _Toc413941227 \h </w:instrText>
            </w:r>
            <w:r w:rsidRPr="00746C69">
              <w:rPr>
                <w:b w:val="0"/>
                <w:webHidden/>
              </w:rPr>
            </w:r>
            <w:r w:rsidRPr="00746C69">
              <w:rPr>
                <w:b w:val="0"/>
                <w:webHidden/>
              </w:rPr>
              <w:fldChar w:fldCharType="separate"/>
            </w:r>
            <w:r w:rsidR="009D71B0">
              <w:rPr>
                <w:b w:val="0"/>
                <w:webHidden/>
              </w:rPr>
              <w:t>28</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28" w:history="1">
            <w:r w:rsidR="00D04E78" w:rsidRPr="00746C69">
              <w:rPr>
                <w:rStyle w:val="Lienhypertexte"/>
                <w:b w:val="0"/>
              </w:rPr>
              <w:t>3.6.</w:t>
            </w:r>
            <w:r w:rsidR="00D04E78" w:rsidRPr="00746C69">
              <w:rPr>
                <w:rFonts w:asciiTheme="minorHAnsi" w:eastAsiaTheme="minorEastAsia" w:hAnsiTheme="minorHAnsi" w:cstheme="minorBidi"/>
                <w:b w:val="0"/>
                <w:color w:val="auto"/>
              </w:rPr>
              <w:tab/>
            </w:r>
            <w:r w:rsidR="00D04E78" w:rsidRPr="00746C69">
              <w:rPr>
                <w:rStyle w:val="Lienhypertexte"/>
                <w:b w:val="0"/>
              </w:rPr>
              <w:t>Difficultés rencontrées et limites de l’étude</w:t>
            </w:r>
            <w:r w:rsidR="00746C69">
              <w:rPr>
                <w:b w:val="0"/>
                <w:webHidden/>
              </w:rPr>
              <w:t>................................................................</w:t>
            </w:r>
            <w:r w:rsidRPr="00746C69">
              <w:rPr>
                <w:b w:val="0"/>
                <w:webHidden/>
              </w:rPr>
              <w:fldChar w:fldCharType="begin"/>
            </w:r>
            <w:r w:rsidR="00D04E78" w:rsidRPr="00746C69">
              <w:rPr>
                <w:b w:val="0"/>
                <w:webHidden/>
              </w:rPr>
              <w:instrText xml:space="preserve"> PAGEREF _Toc413941228 \h </w:instrText>
            </w:r>
            <w:r w:rsidRPr="00746C69">
              <w:rPr>
                <w:b w:val="0"/>
                <w:webHidden/>
              </w:rPr>
            </w:r>
            <w:r w:rsidRPr="00746C69">
              <w:rPr>
                <w:b w:val="0"/>
                <w:webHidden/>
              </w:rPr>
              <w:fldChar w:fldCharType="separate"/>
            </w:r>
            <w:r w:rsidR="009D71B0">
              <w:rPr>
                <w:b w:val="0"/>
                <w:webHidden/>
              </w:rPr>
              <w:t>28</w:t>
            </w:r>
            <w:r w:rsidRPr="00746C69">
              <w:rPr>
                <w:b w:val="0"/>
                <w:webHidden/>
              </w:rPr>
              <w:fldChar w:fldCharType="end"/>
            </w:r>
          </w:hyperlink>
        </w:p>
        <w:p w:rsidR="00D04E78" w:rsidRPr="00746C69" w:rsidRDefault="00E72F8E" w:rsidP="00746C6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29" w:history="1">
            <w:r w:rsidR="00D04E78" w:rsidRPr="00746C69">
              <w:rPr>
                <w:rStyle w:val="Lienhypertexte"/>
                <w:noProof/>
                <w:sz w:val="22"/>
                <w:szCs w:val="22"/>
                <w:lang w:eastAsia="fr-FR"/>
              </w:rPr>
              <w:t>4.</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Résultats et analyse des comptes de la santé (CS) 2013</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_Toc413941229 \h </w:instrText>
            </w:r>
            <w:r w:rsidRPr="00746C69">
              <w:rPr>
                <w:noProof/>
                <w:webHidden/>
                <w:sz w:val="22"/>
                <w:szCs w:val="22"/>
              </w:rPr>
            </w:r>
            <w:r w:rsidRPr="00746C69">
              <w:rPr>
                <w:noProof/>
                <w:webHidden/>
                <w:sz w:val="22"/>
                <w:szCs w:val="22"/>
              </w:rPr>
              <w:fldChar w:fldCharType="separate"/>
            </w:r>
            <w:r w:rsidR="009D71B0">
              <w:rPr>
                <w:noProof/>
                <w:webHidden/>
                <w:sz w:val="22"/>
                <w:szCs w:val="22"/>
              </w:rPr>
              <w:t>31</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30" w:history="1">
            <w:r w:rsidR="00D04E78" w:rsidRPr="00746C69">
              <w:rPr>
                <w:rStyle w:val="Lienhypertexte"/>
                <w:b w:val="0"/>
              </w:rPr>
              <w:t>4.1.</w:t>
            </w:r>
            <w:r w:rsidR="00D04E78" w:rsidRPr="00746C69">
              <w:rPr>
                <w:rFonts w:asciiTheme="minorHAnsi" w:eastAsiaTheme="minorEastAsia" w:hAnsiTheme="minorHAnsi" w:cstheme="minorBidi"/>
                <w:b w:val="0"/>
                <w:color w:val="auto"/>
              </w:rPr>
              <w:tab/>
            </w:r>
            <w:r w:rsidR="00D04E78" w:rsidRPr="00746C69">
              <w:rPr>
                <w:rStyle w:val="Lienhypertexte"/>
                <w:b w:val="0"/>
              </w:rPr>
              <w:t>Analyse des r</w:t>
            </w:r>
            <w:r w:rsidR="00746C69">
              <w:rPr>
                <w:rStyle w:val="Lienhypertexte"/>
                <w:b w:val="0"/>
              </w:rPr>
              <w:t>ésultats des comptes de la santé.........................................................</w:t>
            </w:r>
            <w:r w:rsidRPr="00746C69">
              <w:rPr>
                <w:b w:val="0"/>
                <w:webHidden/>
              </w:rPr>
              <w:fldChar w:fldCharType="begin"/>
            </w:r>
            <w:r w:rsidR="00D04E78" w:rsidRPr="00746C69">
              <w:rPr>
                <w:b w:val="0"/>
                <w:webHidden/>
              </w:rPr>
              <w:instrText xml:space="preserve"> PAGEREF _Toc413941230 \h </w:instrText>
            </w:r>
            <w:r w:rsidRPr="00746C69">
              <w:rPr>
                <w:b w:val="0"/>
                <w:webHidden/>
              </w:rPr>
            </w:r>
            <w:r w:rsidRPr="00746C69">
              <w:rPr>
                <w:b w:val="0"/>
                <w:webHidden/>
              </w:rPr>
              <w:fldChar w:fldCharType="separate"/>
            </w:r>
            <w:r w:rsidR="009D71B0">
              <w:rPr>
                <w:b w:val="0"/>
                <w:webHidden/>
              </w:rPr>
              <w:t>31</w:t>
            </w:r>
            <w:r w:rsidRPr="00746C69">
              <w:rPr>
                <w:b w:val="0"/>
                <w:webHidden/>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31" w:history="1">
            <w:r w:rsidR="00D04E78" w:rsidRPr="00746C69">
              <w:rPr>
                <w:rStyle w:val="Lienhypertexte"/>
                <w:noProof/>
                <w:sz w:val="22"/>
                <w:szCs w:val="22"/>
                <w:lang w:eastAsia="en-US"/>
              </w:rPr>
              <w:t>4.1.1.</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Analyse de la dimension financement de la santé</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_Toc413941231 \h </w:instrText>
            </w:r>
            <w:r w:rsidRPr="00746C69">
              <w:rPr>
                <w:noProof/>
                <w:webHidden/>
                <w:sz w:val="22"/>
                <w:szCs w:val="22"/>
              </w:rPr>
            </w:r>
            <w:r w:rsidRPr="00746C69">
              <w:rPr>
                <w:noProof/>
                <w:webHidden/>
                <w:sz w:val="22"/>
                <w:szCs w:val="22"/>
              </w:rPr>
              <w:fldChar w:fldCharType="separate"/>
            </w:r>
            <w:r w:rsidR="009D71B0">
              <w:rPr>
                <w:noProof/>
                <w:webHidden/>
                <w:sz w:val="22"/>
                <w:szCs w:val="22"/>
              </w:rPr>
              <w:t>32</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32" w:history="1">
            <w:r w:rsidR="00D04E78" w:rsidRPr="00746C69">
              <w:rPr>
                <w:rStyle w:val="Lienhypertexte"/>
                <w:noProof/>
                <w:sz w:val="22"/>
                <w:szCs w:val="22"/>
                <w:lang w:eastAsia="en-US"/>
              </w:rPr>
              <w:t>4.1.2.</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Dépenses par facteurs de prestation des soins de santé</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_Toc413941232 \h </w:instrText>
            </w:r>
            <w:r w:rsidRPr="00746C69">
              <w:rPr>
                <w:noProof/>
                <w:webHidden/>
                <w:sz w:val="22"/>
                <w:szCs w:val="22"/>
              </w:rPr>
            </w:r>
            <w:r w:rsidRPr="00746C69">
              <w:rPr>
                <w:noProof/>
                <w:webHidden/>
                <w:sz w:val="22"/>
                <w:szCs w:val="22"/>
              </w:rPr>
              <w:fldChar w:fldCharType="separate"/>
            </w:r>
            <w:r w:rsidR="009D71B0">
              <w:rPr>
                <w:noProof/>
                <w:webHidden/>
                <w:sz w:val="22"/>
                <w:szCs w:val="22"/>
              </w:rPr>
              <w:t>37</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33" w:history="1">
            <w:r w:rsidR="00D04E78" w:rsidRPr="00746C69">
              <w:rPr>
                <w:rStyle w:val="Lienhypertexte"/>
                <w:noProof/>
                <w:sz w:val="22"/>
                <w:szCs w:val="22"/>
                <w:lang w:eastAsia="en-US"/>
              </w:rPr>
              <w:t>4.1.3.</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Dépenses courantes par fonction sanitaire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_Toc413941233 \h </w:instrText>
            </w:r>
            <w:r w:rsidRPr="00746C69">
              <w:rPr>
                <w:noProof/>
                <w:webHidden/>
                <w:sz w:val="22"/>
                <w:szCs w:val="22"/>
              </w:rPr>
            </w:r>
            <w:r w:rsidRPr="00746C69">
              <w:rPr>
                <w:noProof/>
                <w:webHidden/>
                <w:sz w:val="22"/>
                <w:szCs w:val="22"/>
              </w:rPr>
              <w:fldChar w:fldCharType="separate"/>
            </w:r>
            <w:r w:rsidR="009D71B0">
              <w:rPr>
                <w:noProof/>
                <w:webHidden/>
                <w:sz w:val="22"/>
                <w:szCs w:val="22"/>
              </w:rPr>
              <w:t>39</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34" w:history="1">
            <w:r w:rsidR="00D04E78" w:rsidRPr="00746C69">
              <w:rPr>
                <w:rStyle w:val="Lienhypertexte"/>
                <w:noProof/>
                <w:sz w:val="22"/>
                <w:szCs w:val="22"/>
                <w:lang w:eastAsia="en-US"/>
              </w:rPr>
              <w:t>4.1.4.</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Répartition des dépenses de santé par bénéficiaire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_Toc413941234 \h </w:instrText>
            </w:r>
            <w:r w:rsidRPr="00746C69">
              <w:rPr>
                <w:noProof/>
                <w:webHidden/>
                <w:sz w:val="22"/>
                <w:szCs w:val="22"/>
              </w:rPr>
            </w:r>
            <w:r w:rsidRPr="00746C69">
              <w:rPr>
                <w:noProof/>
                <w:webHidden/>
                <w:sz w:val="22"/>
                <w:szCs w:val="22"/>
              </w:rPr>
              <w:fldChar w:fldCharType="separate"/>
            </w:r>
            <w:r w:rsidR="009D71B0">
              <w:rPr>
                <w:noProof/>
                <w:webHidden/>
                <w:sz w:val="22"/>
                <w:szCs w:val="22"/>
              </w:rPr>
              <w:t>41</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35" w:history="1">
            <w:r w:rsidR="00D04E78" w:rsidRPr="00746C69">
              <w:rPr>
                <w:rStyle w:val="Lienhypertexte"/>
                <w:b w:val="0"/>
              </w:rPr>
              <w:t>4.2.</w:t>
            </w:r>
            <w:r w:rsidR="00D04E78" w:rsidRPr="00746C69">
              <w:rPr>
                <w:rFonts w:asciiTheme="minorHAnsi" w:eastAsiaTheme="minorEastAsia" w:hAnsiTheme="minorHAnsi" w:cstheme="minorBidi"/>
                <w:b w:val="0"/>
                <w:color w:val="auto"/>
              </w:rPr>
              <w:tab/>
            </w:r>
            <w:r w:rsidR="00D04E78" w:rsidRPr="00746C69">
              <w:rPr>
                <w:rStyle w:val="Lienhypertexte"/>
                <w:b w:val="0"/>
              </w:rPr>
              <w:t>Analyse sectorielle des dépenses de santé 2013</w:t>
            </w:r>
            <w:r w:rsidR="00746C69">
              <w:rPr>
                <w:b w:val="0"/>
                <w:webHidden/>
              </w:rPr>
              <w:t>......................................................</w:t>
            </w:r>
            <w:r w:rsidRPr="00746C69">
              <w:rPr>
                <w:b w:val="0"/>
                <w:webHidden/>
              </w:rPr>
              <w:fldChar w:fldCharType="begin"/>
            </w:r>
            <w:r w:rsidR="00D04E78" w:rsidRPr="00746C69">
              <w:rPr>
                <w:b w:val="0"/>
                <w:webHidden/>
              </w:rPr>
              <w:instrText xml:space="preserve"> PAGEREF _Toc413941235 \h </w:instrText>
            </w:r>
            <w:r w:rsidRPr="00746C69">
              <w:rPr>
                <w:b w:val="0"/>
                <w:webHidden/>
              </w:rPr>
            </w:r>
            <w:r w:rsidRPr="00746C69">
              <w:rPr>
                <w:b w:val="0"/>
                <w:webHidden/>
              </w:rPr>
              <w:fldChar w:fldCharType="separate"/>
            </w:r>
            <w:r w:rsidR="009D71B0">
              <w:rPr>
                <w:b w:val="0"/>
                <w:webHidden/>
              </w:rPr>
              <w:t>43</w:t>
            </w:r>
            <w:r w:rsidRPr="00746C69">
              <w:rPr>
                <w:b w:val="0"/>
                <w:webHidden/>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36" w:history="1">
            <w:r w:rsidR="00D04E78" w:rsidRPr="00746C69">
              <w:rPr>
                <w:rStyle w:val="Lienhypertexte"/>
                <w:noProof/>
                <w:sz w:val="22"/>
                <w:szCs w:val="22"/>
              </w:rPr>
              <w:t>4.2.1.</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Evolution du financement du budget alloué au Ministère de la santé</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_Toc413941236 \h </w:instrText>
            </w:r>
            <w:r w:rsidRPr="00746C69">
              <w:rPr>
                <w:noProof/>
                <w:webHidden/>
                <w:sz w:val="22"/>
                <w:szCs w:val="22"/>
              </w:rPr>
            </w:r>
            <w:r w:rsidRPr="00746C69">
              <w:rPr>
                <w:noProof/>
                <w:webHidden/>
                <w:sz w:val="22"/>
                <w:szCs w:val="22"/>
              </w:rPr>
              <w:fldChar w:fldCharType="separate"/>
            </w:r>
            <w:r w:rsidR="009D71B0">
              <w:rPr>
                <w:noProof/>
                <w:webHidden/>
                <w:sz w:val="22"/>
                <w:szCs w:val="22"/>
              </w:rPr>
              <w:t>43</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37" w:history="1">
            <w:r w:rsidR="00D04E78" w:rsidRPr="00746C69">
              <w:rPr>
                <w:rStyle w:val="Lienhypertexte"/>
                <w:noProof/>
                <w:sz w:val="22"/>
                <w:szCs w:val="22"/>
              </w:rPr>
              <w:t>4.2.2.</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Répartition de l’exécution des dépenses dans le budget  du Ministère de Santé</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_Toc413941237 \h </w:instrText>
            </w:r>
            <w:r w:rsidRPr="00746C69">
              <w:rPr>
                <w:noProof/>
                <w:webHidden/>
                <w:sz w:val="22"/>
                <w:szCs w:val="22"/>
              </w:rPr>
            </w:r>
            <w:r w:rsidRPr="00746C69">
              <w:rPr>
                <w:noProof/>
                <w:webHidden/>
                <w:sz w:val="22"/>
                <w:szCs w:val="22"/>
              </w:rPr>
              <w:fldChar w:fldCharType="separate"/>
            </w:r>
            <w:r w:rsidR="009D71B0">
              <w:rPr>
                <w:noProof/>
                <w:webHidden/>
                <w:sz w:val="22"/>
                <w:szCs w:val="22"/>
              </w:rPr>
              <w:t>44</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38" w:history="1">
            <w:r w:rsidR="00D04E78" w:rsidRPr="00746C69">
              <w:rPr>
                <w:rStyle w:val="Lienhypertexte"/>
                <w:noProof/>
                <w:sz w:val="22"/>
                <w:szCs w:val="22"/>
                <w:lang w:eastAsia="fr-FR"/>
              </w:rPr>
              <w:t>4.2.3.</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fr-FR"/>
              </w:rPr>
              <w:t>Participation des autres Ministères aux dépenses de santé</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_Toc413941238 \h </w:instrText>
            </w:r>
            <w:r w:rsidRPr="00746C69">
              <w:rPr>
                <w:noProof/>
                <w:webHidden/>
                <w:sz w:val="22"/>
                <w:szCs w:val="22"/>
              </w:rPr>
            </w:r>
            <w:r w:rsidRPr="00746C69">
              <w:rPr>
                <w:noProof/>
                <w:webHidden/>
                <w:sz w:val="22"/>
                <w:szCs w:val="22"/>
              </w:rPr>
              <w:fldChar w:fldCharType="separate"/>
            </w:r>
            <w:r w:rsidR="009D71B0">
              <w:rPr>
                <w:noProof/>
                <w:webHidden/>
                <w:sz w:val="22"/>
                <w:szCs w:val="22"/>
              </w:rPr>
              <w:t>45</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39" w:history="1">
            <w:r w:rsidR="00D04E78" w:rsidRPr="00746C69">
              <w:rPr>
                <w:rStyle w:val="Lienhypertexte"/>
                <w:noProof/>
                <w:sz w:val="22"/>
                <w:szCs w:val="22"/>
                <w:lang w:eastAsia="fr-FR"/>
              </w:rPr>
              <w:t>4.2.4.</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fr-FR"/>
              </w:rPr>
              <w:t>Financement de la santé par les collectivités territoriales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_Toc413941239 \h </w:instrText>
            </w:r>
            <w:r w:rsidRPr="00746C69">
              <w:rPr>
                <w:noProof/>
                <w:webHidden/>
                <w:sz w:val="22"/>
                <w:szCs w:val="22"/>
              </w:rPr>
            </w:r>
            <w:r w:rsidRPr="00746C69">
              <w:rPr>
                <w:noProof/>
                <w:webHidden/>
                <w:sz w:val="22"/>
                <w:szCs w:val="22"/>
              </w:rPr>
              <w:fldChar w:fldCharType="separate"/>
            </w:r>
            <w:r w:rsidR="009D71B0">
              <w:rPr>
                <w:noProof/>
                <w:webHidden/>
                <w:sz w:val="22"/>
                <w:szCs w:val="22"/>
              </w:rPr>
              <w:t>45</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40" w:history="1">
            <w:r w:rsidR="00D04E78" w:rsidRPr="00746C69">
              <w:rPr>
                <w:rStyle w:val="Lienhypertexte"/>
                <w:noProof/>
                <w:sz w:val="22"/>
                <w:szCs w:val="22"/>
                <w:lang w:eastAsia="fr-FR"/>
              </w:rPr>
              <w:t>4.2.5.</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fr-FR"/>
              </w:rPr>
              <w:t>Financement de la santé par les entreprises privées et parapubliques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_Toc413941240 \h </w:instrText>
            </w:r>
            <w:r w:rsidRPr="00746C69">
              <w:rPr>
                <w:noProof/>
                <w:webHidden/>
                <w:sz w:val="22"/>
                <w:szCs w:val="22"/>
              </w:rPr>
            </w:r>
            <w:r w:rsidRPr="00746C69">
              <w:rPr>
                <w:noProof/>
                <w:webHidden/>
                <w:sz w:val="22"/>
                <w:szCs w:val="22"/>
              </w:rPr>
              <w:fldChar w:fldCharType="separate"/>
            </w:r>
            <w:r w:rsidR="009D71B0">
              <w:rPr>
                <w:noProof/>
                <w:webHidden/>
                <w:sz w:val="22"/>
                <w:szCs w:val="22"/>
              </w:rPr>
              <w:t>45</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41" w:history="1">
            <w:r w:rsidR="00D04E78" w:rsidRPr="00746C69">
              <w:rPr>
                <w:rStyle w:val="Lienhypertexte"/>
                <w:noProof/>
                <w:sz w:val="22"/>
                <w:szCs w:val="22"/>
                <w:lang w:eastAsia="fr-FR"/>
              </w:rPr>
              <w:t>4.2.6.</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fr-FR"/>
              </w:rPr>
              <w:t>Financement de la santé par l’assurance maladie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_Toc413941241 \h </w:instrText>
            </w:r>
            <w:r w:rsidRPr="00746C69">
              <w:rPr>
                <w:noProof/>
                <w:webHidden/>
                <w:sz w:val="22"/>
                <w:szCs w:val="22"/>
              </w:rPr>
            </w:r>
            <w:r w:rsidRPr="00746C69">
              <w:rPr>
                <w:noProof/>
                <w:webHidden/>
                <w:sz w:val="22"/>
                <w:szCs w:val="22"/>
              </w:rPr>
              <w:fldChar w:fldCharType="separate"/>
            </w:r>
            <w:r w:rsidR="009D71B0">
              <w:rPr>
                <w:noProof/>
                <w:webHidden/>
                <w:sz w:val="22"/>
                <w:szCs w:val="22"/>
              </w:rPr>
              <w:t>46</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42" w:history="1">
            <w:r w:rsidR="00D04E78" w:rsidRPr="00746C69">
              <w:rPr>
                <w:rStyle w:val="Lienhypertexte"/>
                <w:noProof/>
                <w:sz w:val="22"/>
                <w:szCs w:val="22"/>
                <w:lang w:eastAsia="fr-FR"/>
              </w:rPr>
              <w:t>4.2.7.</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fr-FR"/>
              </w:rPr>
              <w:t>Financement de la santé par les ménages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_Toc413941242 \h </w:instrText>
            </w:r>
            <w:r w:rsidRPr="00746C69">
              <w:rPr>
                <w:noProof/>
                <w:webHidden/>
                <w:sz w:val="22"/>
                <w:szCs w:val="22"/>
              </w:rPr>
            </w:r>
            <w:r w:rsidRPr="00746C69">
              <w:rPr>
                <w:noProof/>
                <w:webHidden/>
                <w:sz w:val="22"/>
                <w:szCs w:val="22"/>
              </w:rPr>
              <w:fldChar w:fldCharType="separate"/>
            </w:r>
            <w:r w:rsidR="009D71B0">
              <w:rPr>
                <w:noProof/>
                <w:webHidden/>
                <w:sz w:val="22"/>
                <w:szCs w:val="22"/>
              </w:rPr>
              <w:t>46</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43" w:history="1">
            <w:r w:rsidR="00D04E78" w:rsidRPr="00746C69">
              <w:rPr>
                <w:rStyle w:val="Lienhypertexte"/>
                <w:rFonts w:eastAsia="Times New Roman"/>
                <w:noProof/>
                <w:sz w:val="22"/>
                <w:szCs w:val="22"/>
                <w:lang w:eastAsia="fr-FR"/>
              </w:rPr>
              <w:t>4.2.8.</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rFonts w:eastAsia="Times New Roman"/>
                <w:noProof/>
                <w:sz w:val="22"/>
                <w:szCs w:val="22"/>
                <w:lang w:eastAsia="fr-FR"/>
              </w:rPr>
              <w:t xml:space="preserve">Financement de la santé par les </w:t>
            </w:r>
            <w:r w:rsidR="00D04E78" w:rsidRPr="00746C69">
              <w:rPr>
                <w:rStyle w:val="Lienhypertexte"/>
                <w:rFonts w:eastAsiaTheme="minorHAnsi"/>
                <w:noProof/>
                <w:sz w:val="22"/>
                <w:szCs w:val="22"/>
                <w:lang w:eastAsia="fr-FR"/>
              </w:rPr>
              <w:t>Organisations Non Gouvernementales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_Toc413941243 \h </w:instrText>
            </w:r>
            <w:r w:rsidRPr="00746C69">
              <w:rPr>
                <w:noProof/>
                <w:webHidden/>
                <w:sz w:val="22"/>
                <w:szCs w:val="22"/>
              </w:rPr>
            </w:r>
            <w:r w:rsidRPr="00746C69">
              <w:rPr>
                <w:noProof/>
                <w:webHidden/>
                <w:sz w:val="22"/>
                <w:szCs w:val="22"/>
              </w:rPr>
              <w:fldChar w:fldCharType="separate"/>
            </w:r>
            <w:r w:rsidR="009D71B0">
              <w:rPr>
                <w:noProof/>
                <w:webHidden/>
                <w:sz w:val="22"/>
                <w:szCs w:val="22"/>
              </w:rPr>
              <w:t>46</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44" w:history="1">
            <w:r w:rsidR="00D04E78" w:rsidRPr="00746C69">
              <w:rPr>
                <w:rStyle w:val="Lienhypertexte"/>
                <w:b w:val="0"/>
              </w:rPr>
              <w:t>4.3.</w:t>
            </w:r>
            <w:r w:rsidR="00D04E78" w:rsidRPr="00746C69">
              <w:rPr>
                <w:rFonts w:asciiTheme="minorHAnsi" w:eastAsiaTheme="minorEastAsia" w:hAnsiTheme="minorHAnsi" w:cstheme="minorBidi"/>
                <w:b w:val="0"/>
                <w:color w:val="auto"/>
              </w:rPr>
              <w:tab/>
            </w:r>
            <w:r w:rsidR="00D04E78" w:rsidRPr="00746C69">
              <w:rPr>
                <w:rStyle w:val="Lienhypertexte"/>
                <w:b w:val="0"/>
              </w:rPr>
              <w:t>Calcul des principaux indicateurs de financement de la santé 2013</w:t>
            </w:r>
            <w:r w:rsidR="00746C69">
              <w:rPr>
                <w:b w:val="0"/>
                <w:webHidden/>
              </w:rPr>
              <w:t>..........................</w:t>
            </w:r>
            <w:r w:rsidRPr="00746C69">
              <w:rPr>
                <w:b w:val="0"/>
                <w:webHidden/>
              </w:rPr>
              <w:fldChar w:fldCharType="begin"/>
            </w:r>
            <w:r w:rsidR="00D04E78" w:rsidRPr="00746C69">
              <w:rPr>
                <w:b w:val="0"/>
                <w:webHidden/>
              </w:rPr>
              <w:instrText xml:space="preserve"> PAGEREF _Toc413941244 \h </w:instrText>
            </w:r>
            <w:r w:rsidRPr="00746C69">
              <w:rPr>
                <w:b w:val="0"/>
                <w:webHidden/>
              </w:rPr>
            </w:r>
            <w:r w:rsidRPr="00746C69">
              <w:rPr>
                <w:b w:val="0"/>
                <w:webHidden/>
              </w:rPr>
              <w:fldChar w:fldCharType="separate"/>
            </w:r>
            <w:r w:rsidR="009D71B0">
              <w:rPr>
                <w:b w:val="0"/>
                <w:webHidden/>
              </w:rPr>
              <w:t>46</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45" w:history="1">
            <w:r w:rsidR="00D04E78" w:rsidRPr="00746C69">
              <w:rPr>
                <w:rStyle w:val="Lienhypertexte"/>
                <w:b w:val="0"/>
              </w:rPr>
              <w:t>4.4.</w:t>
            </w:r>
            <w:r w:rsidR="00D04E78" w:rsidRPr="00746C69">
              <w:rPr>
                <w:rFonts w:asciiTheme="minorHAnsi" w:eastAsiaTheme="minorEastAsia" w:hAnsiTheme="minorHAnsi" w:cstheme="minorBidi"/>
                <w:b w:val="0"/>
                <w:color w:val="auto"/>
              </w:rPr>
              <w:tab/>
            </w:r>
            <w:r w:rsidR="00D04E78" w:rsidRPr="00746C69">
              <w:rPr>
                <w:rStyle w:val="Lienhypertexte"/>
                <w:b w:val="0"/>
              </w:rPr>
              <w:t>Résultats des dépenses sur la formation brute de capital</w:t>
            </w:r>
            <w:r w:rsidR="00746C69">
              <w:rPr>
                <w:b w:val="0"/>
                <w:webHidden/>
              </w:rPr>
              <w:t>..........................................</w:t>
            </w:r>
            <w:r w:rsidRPr="00746C69">
              <w:rPr>
                <w:b w:val="0"/>
                <w:webHidden/>
              </w:rPr>
              <w:fldChar w:fldCharType="begin"/>
            </w:r>
            <w:r w:rsidR="00D04E78" w:rsidRPr="00746C69">
              <w:rPr>
                <w:b w:val="0"/>
                <w:webHidden/>
              </w:rPr>
              <w:instrText xml:space="preserve"> PAGEREF _Toc413941245 \h </w:instrText>
            </w:r>
            <w:r w:rsidRPr="00746C69">
              <w:rPr>
                <w:b w:val="0"/>
                <w:webHidden/>
              </w:rPr>
            </w:r>
            <w:r w:rsidRPr="00746C69">
              <w:rPr>
                <w:b w:val="0"/>
                <w:webHidden/>
              </w:rPr>
              <w:fldChar w:fldCharType="separate"/>
            </w:r>
            <w:r w:rsidR="009D71B0">
              <w:rPr>
                <w:b w:val="0"/>
                <w:webHidden/>
              </w:rPr>
              <w:t>47</w:t>
            </w:r>
            <w:r w:rsidRPr="00746C69">
              <w:rPr>
                <w:b w:val="0"/>
                <w:webHidden/>
              </w:rPr>
              <w:fldChar w:fldCharType="end"/>
            </w:r>
          </w:hyperlink>
        </w:p>
        <w:p w:rsidR="00D04E78" w:rsidRPr="00746C69" w:rsidRDefault="00E72F8E" w:rsidP="00746C6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46" w:history="1">
            <w:r w:rsidR="00D04E78" w:rsidRPr="00746C69">
              <w:rPr>
                <w:rStyle w:val="Lienhypertexte"/>
                <w:noProof/>
                <w:sz w:val="22"/>
                <w:szCs w:val="22"/>
              </w:rPr>
              <w:t>5.</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Résultats des dépenses du paludisme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_Toc413941246 \h </w:instrText>
            </w:r>
            <w:r w:rsidRPr="00746C69">
              <w:rPr>
                <w:noProof/>
                <w:webHidden/>
                <w:sz w:val="22"/>
                <w:szCs w:val="22"/>
              </w:rPr>
            </w:r>
            <w:r w:rsidRPr="00746C69">
              <w:rPr>
                <w:noProof/>
                <w:webHidden/>
                <w:sz w:val="22"/>
                <w:szCs w:val="22"/>
              </w:rPr>
              <w:fldChar w:fldCharType="separate"/>
            </w:r>
            <w:r w:rsidR="009D71B0">
              <w:rPr>
                <w:noProof/>
                <w:webHidden/>
                <w:sz w:val="22"/>
                <w:szCs w:val="22"/>
              </w:rPr>
              <w:t>51</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47" w:history="1">
            <w:r w:rsidR="00D04E78" w:rsidRPr="00746C69">
              <w:rPr>
                <w:rStyle w:val="Lienhypertexte"/>
                <w:b w:val="0"/>
              </w:rPr>
              <w:t>5.1.</w:t>
            </w:r>
            <w:r w:rsidR="00D04E78" w:rsidRPr="00746C69">
              <w:rPr>
                <w:rFonts w:asciiTheme="minorHAnsi" w:eastAsiaTheme="minorEastAsia" w:hAnsiTheme="minorHAnsi" w:cstheme="minorBidi"/>
                <w:b w:val="0"/>
                <w:color w:val="auto"/>
              </w:rPr>
              <w:tab/>
            </w:r>
            <w:r w:rsidR="00D04E78" w:rsidRPr="00746C69">
              <w:rPr>
                <w:rStyle w:val="Lienhypertexte"/>
                <w:b w:val="0"/>
              </w:rPr>
              <w:t>Aperçu sur la situation du paludisme au Mali</w:t>
            </w:r>
            <w:r w:rsidR="00746C69">
              <w:rPr>
                <w:b w:val="0"/>
                <w:webHidden/>
              </w:rPr>
              <w:t>.............................................................</w:t>
            </w:r>
            <w:r w:rsidRPr="00746C69">
              <w:rPr>
                <w:b w:val="0"/>
                <w:webHidden/>
              </w:rPr>
              <w:fldChar w:fldCharType="begin"/>
            </w:r>
            <w:r w:rsidR="00D04E78" w:rsidRPr="00746C69">
              <w:rPr>
                <w:b w:val="0"/>
                <w:webHidden/>
              </w:rPr>
              <w:instrText xml:space="preserve"> PAGEREF _Toc413941247 \h </w:instrText>
            </w:r>
            <w:r w:rsidRPr="00746C69">
              <w:rPr>
                <w:b w:val="0"/>
                <w:webHidden/>
              </w:rPr>
            </w:r>
            <w:r w:rsidRPr="00746C69">
              <w:rPr>
                <w:b w:val="0"/>
                <w:webHidden/>
              </w:rPr>
              <w:fldChar w:fldCharType="separate"/>
            </w:r>
            <w:r w:rsidR="009D71B0">
              <w:rPr>
                <w:b w:val="0"/>
                <w:webHidden/>
              </w:rPr>
              <w:t>51</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48" w:history="1">
            <w:r w:rsidR="00D04E78" w:rsidRPr="00746C69">
              <w:rPr>
                <w:rStyle w:val="Lienhypertexte"/>
                <w:b w:val="0"/>
              </w:rPr>
              <w:t>5.2.</w:t>
            </w:r>
            <w:r w:rsidR="00D04E78" w:rsidRPr="00746C69">
              <w:rPr>
                <w:rFonts w:asciiTheme="minorHAnsi" w:eastAsiaTheme="minorEastAsia" w:hAnsiTheme="minorHAnsi" w:cstheme="minorBidi"/>
                <w:b w:val="0"/>
                <w:color w:val="auto"/>
              </w:rPr>
              <w:tab/>
            </w:r>
            <w:r w:rsidR="00D04E78" w:rsidRPr="00746C69">
              <w:rPr>
                <w:rStyle w:val="Lienhypertexte"/>
                <w:b w:val="0"/>
              </w:rPr>
              <w:t>Recettes des regimes de financement des dépenses du paludisme</w:t>
            </w:r>
            <w:r w:rsidR="00746C69">
              <w:rPr>
                <w:b w:val="0"/>
                <w:webHidden/>
              </w:rPr>
              <w:t>.........................</w:t>
            </w:r>
            <w:r w:rsidRPr="00746C69">
              <w:rPr>
                <w:b w:val="0"/>
                <w:webHidden/>
              </w:rPr>
              <w:fldChar w:fldCharType="begin"/>
            </w:r>
            <w:r w:rsidR="00D04E78" w:rsidRPr="00746C69">
              <w:rPr>
                <w:b w:val="0"/>
                <w:webHidden/>
              </w:rPr>
              <w:instrText xml:space="preserve"> PAGEREF _Toc413941248 \h </w:instrText>
            </w:r>
            <w:r w:rsidRPr="00746C69">
              <w:rPr>
                <w:b w:val="0"/>
                <w:webHidden/>
              </w:rPr>
            </w:r>
            <w:r w:rsidRPr="00746C69">
              <w:rPr>
                <w:b w:val="0"/>
                <w:webHidden/>
              </w:rPr>
              <w:fldChar w:fldCharType="separate"/>
            </w:r>
            <w:r w:rsidR="009D71B0">
              <w:rPr>
                <w:b w:val="0"/>
                <w:webHidden/>
              </w:rPr>
              <w:t>52</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49" w:history="1">
            <w:r w:rsidR="00D04E78" w:rsidRPr="00746C69">
              <w:rPr>
                <w:rStyle w:val="Lienhypertexte"/>
                <w:b w:val="0"/>
              </w:rPr>
              <w:t>5.3.</w:t>
            </w:r>
            <w:r w:rsidR="00D04E78" w:rsidRPr="00746C69">
              <w:rPr>
                <w:rFonts w:asciiTheme="minorHAnsi" w:eastAsiaTheme="minorEastAsia" w:hAnsiTheme="minorHAnsi" w:cstheme="minorBidi"/>
                <w:b w:val="0"/>
                <w:color w:val="auto"/>
              </w:rPr>
              <w:tab/>
            </w:r>
            <w:r w:rsidR="00D04E78" w:rsidRPr="00746C69">
              <w:rPr>
                <w:rStyle w:val="Lienhypertexte"/>
                <w:b w:val="0"/>
              </w:rPr>
              <w:t>Répartition des dépenses du paludisme par unité instit</w:t>
            </w:r>
            <w:r w:rsidR="00746C69">
              <w:rPr>
                <w:rStyle w:val="Lienhypertexte"/>
                <w:b w:val="0"/>
              </w:rPr>
              <w:t>utionnell...............................</w:t>
            </w:r>
            <w:r w:rsidRPr="00746C69">
              <w:rPr>
                <w:b w:val="0"/>
                <w:webHidden/>
              </w:rPr>
              <w:fldChar w:fldCharType="begin"/>
            </w:r>
            <w:r w:rsidR="00D04E78" w:rsidRPr="00746C69">
              <w:rPr>
                <w:b w:val="0"/>
                <w:webHidden/>
              </w:rPr>
              <w:instrText xml:space="preserve"> PAGEREF _Toc413941249 \h </w:instrText>
            </w:r>
            <w:r w:rsidRPr="00746C69">
              <w:rPr>
                <w:b w:val="0"/>
                <w:webHidden/>
              </w:rPr>
            </w:r>
            <w:r w:rsidRPr="00746C69">
              <w:rPr>
                <w:b w:val="0"/>
                <w:webHidden/>
              </w:rPr>
              <w:fldChar w:fldCharType="separate"/>
            </w:r>
            <w:r w:rsidR="009D71B0">
              <w:rPr>
                <w:b w:val="0"/>
                <w:webHidden/>
              </w:rPr>
              <w:t>53</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50" w:history="1">
            <w:r w:rsidR="00D04E78" w:rsidRPr="00746C69">
              <w:rPr>
                <w:rStyle w:val="Lienhypertexte"/>
                <w:b w:val="0"/>
              </w:rPr>
              <w:t>5.4.</w:t>
            </w:r>
            <w:r w:rsidR="00D04E78" w:rsidRPr="00746C69">
              <w:rPr>
                <w:rFonts w:asciiTheme="minorHAnsi" w:eastAsiaTheme="minorEastAsia" w:hAnsiTheme="minorHAnsi" w:cstheme="minorBidi"/>
                <w:b w:val="0"/>
                <w:color w:val="auto"/>
              </w:rPr>
              <w:tab/>
            </w:r>
            <w:r w:rsidR="00D04E78" w:rsidRPr="00746C69">
              <w:rPr>
                <w:rStyle w:val="Lienhypertexte"/>
                <w:b w:val="0"/>
              </w:rPr>
              <w:t>Répartition des dépenses du paludisme par tranche d’âge</w:t>
            </w:r>
            <w:r w:rsidR="00746C69">
              <w:rPr>
                <w:b w:val="0"/>
                <w:webHidden/>
              </w:rPr>
              <w:t>.......................................</w:t>
            </w:r>
            <w:r w:rsidRPr="00746C69">
              <w:rPr>
                <w:b w:val="0"/>
                <w:webHidden/>
              </w:rPr>
              <w:fldChar w:fldCharType="begin"/>
            </w:r>
            <w:r w:rsidR="00D04E78" w:rsidRPr="00746C69">
              <w:rPr>
                <w:b w:val="0"/>
                <w:webHidden/>
              </w:rPr>
              <w:instrText xml:space="preserve"> PAGEREF _Toc413941250 \h </w:instrText>
            </w:r>
            <w:r w:rsidRPr="00746C69">
              <w:rPr>
                <w:b w:val="0"/>
                <w:webHidden/>
              </w:rPr>
            </w:r>
            <w:r w:rsidRPr="00746C69">
              <w:rPr>
                <w:b w:val="0"/>
                <w:webHidden/>
              </w:rPr>
              <w:fldChar w:fldCharType="separate"/>
            </w:r>
            <w:r w:rsidR="009D71B0">
              <w:rPr>
                <w:b w:val="0"/>
                <w:webHidden/>
              </w:rPr>
              <w:t>54</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51" w:history="1">
            <w:r w:rsidR="00D04E78" w:rsidRPr="00746C69">
              <w:rPr>
                <w:rStyle w:val="Lienhypertexte"/>
                <w:rFonts w:eastAsiaTheme="minorHAnsi"/>
                <w:b w:val="0"/>
              </w:rPr>
              <w:t>5.5.</w:t>
            </w:r>
            <w:r w:rsidR="00D04E78" w:rsidRPr="00746C69">
              <w:rPr>
                <w:rFonts w:asciiTheme="minorHAnsi" w:eastAsiaTheme="minorEastAsia" w:hAnsiTheme="minorHAnsi" w:cstheme="minorBidi"/>
                <w:b w:val="0"/>
                <w:color w:val="auto"/>
              </w:rPr>
              <w:tab/>
            </w:r>
            <w:r w:rsidR="00D04E78" w:rsidRPr="00746C69">
              <w:rPr>
                <w:rStyle w:val="Lienhypertexte"/>
                <w:b w:val="0"/>
              </w:rPr>
              <w:t>Répartition des dépenses par prestataires de se</w:t>
            </w:r>
            <w:r w:rsidR="00746C69">
              <w:rPr>
                <w:rStyle w:val="Lienhypertexte"/>
                <w:b w:val="0"/>
              </w:rPr>
              <w:t>rvice...............................................</w:t>
            </w:r>
            <w:r w:rsidRPr="00746C69">
              <w:rPr>
                <w:b w:val="0"/>
                <w:webHidden/>
              </w:rPr>
              <w:fldChar w:fldCharType="begin"/>
            </w:r>
            <w:r w:rsidR="00D04E78" w:rsidRPr="00746C69">
              <w:rPr>
                <w:b w:val="0"/>
                <w:webHidden/>
              </w:rPr>
              <w:instrText xml:space="preserve"> PAGEREF _Toc413941251 \h </w:instrText>
            </w:r>
            <w:r w:rsidRPr="00746C69">
              <w:rPr>
                <w:b w:val="0"/>
                <w:webHidden/>
              </w:rPr>
            </w:r>
            <w:r w:rsidRPr="00746C69">
              <w:rPr>
                <w:b w:val="0"/>
                <w:webHidden/>
              </w:rPr>
              <w:fldChar w:fldCharType="separate"/>
            </w:r>
            <w:r w:rsidR="009D71B0">
              <w:rPr>
                <w:b w:val="0"/>
                <w:webHidden/>
              </w:rPr>
              <w:t>54</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52" w:history="1">
            <w:r w:rsidR="00D04E78" w:rsidRPr="00746C69">
              <w:rPr>
                <w:rStyle w:val="Lienhypertexte"/>
                <w:b w:val="0"/>
              </w:rPr>
              <w:t>5.6.</w:t>
            </w:r>
            <w:r w:rsidR="00D04E78" w:rsidRPr="00746C69">
              <w:rPr>
                <w:rFonts w:asciiTheme="minorHAnsi" w:eastAsiaTheme="minorEastAsia" w:hAnsiTheme="minorHAnsi" w:cstheme="minorBidi"/>
                <w:b w:val="0"/>
                <w:color w:val="auto"/>
              </w:rPr>
              <w:tab/>
            </w:r>
            <w:r w:rsidR="00D04E78" w:rsidRPr="00746C69">
              <w:rPr>
                <w:rStyle w:val="Lienhypertexte"/>
                <w:b w:val="0"/>
              </w:rPr>
              <w:t>Répartition des dépenses par fonction</w:t>
            </w:r>
            <w:r w:rsidR="00746C69">
              <w:rPr>
                <w:b w:val="0"/>
                <w:webHidden/>
              </w:rPr>
              <w:t>.......................................................................</w:t>
            </w:r>
            <w:r w:rsidRPr="00746C69">
              <w:rPr>
                <w:b w:val="0"/>
                <w:webHidden/>
              </w:rPr>
              <w:fldChar w:fldCharType="begin"/>
            </w:r>
            <w:r w:rsidR="00D04E78" w:rsidRPr="00746C69">
              <w:rPr>
                <w:b w:val="0"/>
                <w:webHidden/>
              </w:rPr>
              <w:instrText xml:space="preserve"> PAGEREF _Toc413941252 \h </w:instrText>
            </w:r>
            <w:r w:rsidRPr="00746C69">
              <w:rPr>
                <w:b w:val="0"/>
                <w:webHidden/>
              </w:rPr>
            </w:r>
            <w:r w:rsidRPr="00746C69">
              <w:rPr>
                <w:b w:val="0"/>
                <w:webHidden/>
              </w:rPr>
              <w:fldChar w:fldCharType="separate"/>
            </w:r>
            <w:r w:rsidR="009D71B0">
              <w:rPr>
                <w:b w:val="0"/>
                <w:webHidden/>
              </w:rPr>
              <w:t>56</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53" w:history="1">
            <w:r w:rsidR="00D04E78" w:rsidRPr="00746C69">
              <w:rPr>
                <w:rStyle w:val="Lienhypertexte"/>
                <w:b w:val="0"/>
              </w:rPr>
              <w:t>5.7.</w:t>
            </w:r>
            <w:r w:rsidR="00D04E78" w:rsidRPr="00746C69">
              <w:rPr>
                <w:rFonts w:asciiTheme="minorHAnsi" w:eastAsiaTheme="minorEastAsia" w:hAnsiTheme="minorHAnsi" w:cstheme="minorBidi"/>
                <w:b w:val="0"/>
                <w:color w:val="auto"/>
              </w:rPr>
              <w:tab/>
            </w:r>
            <w:r w:rsidR="00D04E78" w:rsidRPr="00746C69">
              <w:rPr>
                <w:rStyle w:val="Lienhypertexte"/>
                <w:b w:val="0"/>
              </w:rPr>
              <w:t>Répartition des dépenses en facteurs de prestation</w:t>
            </w:r>
            <w:r w:rsidR="00746C69">
              <w:rPr>
                <w:b w:val="0"/>
                <w:webHidden/>
              </w:rPr>
              <w:t>..................................................</w:t>
            </w:r>
            <w:r w:rsidRPr="00746C69">
              <w:rPr>
                <w:b w:val="0"/>
                <w:webHidden/>
              </w:rPr>
              <w:fldChar w:fldCharType="begin"/>
            </w:r>
            <w:r w:rsidR="00D04E78" w:rsidRPr="00746C69">
              <w:rPr>
                <w:b w:val="0"/>
                <w:webHidden/>
              </w:rPr>
              <w:instrText xml:space="preserve"> PAGEREF _Toc413941253 \h </w:instrText>
            </w:r>
            <w:r w:rsidRPr="00746C69">
              <w:rPr>
                <w:b w:val="0"/>
                <w:webHidden/>
              </w:rPr>
            </w:r>
            <w:r w:rsidRPr="00746C69">
              <w:rPr>
                <w:b w:val="0"/>
                <w:webHidden/>
              </w:rPr>
              <w:fldChar w:fldCharType="separate"/>
            </w:r>
            <w:r w:rsidR="009D71B0">
              <w:rPr>
                <w:b w:val="0"/>
                <w:webHidden/>
              </w:rPr>
              <w:t>56</w:t>
            </w:r>
            <w:r w:rsidRPr="00746C69">
              <w:rPr>
                <w:b w:val="0"/>
                <w:webHidden/>
              </w:rPr>
              <w:fldChar w:fldCharType="end"/>
            </w:r>
          </w:hyperlink>
        </w:p>
        <w:p w:rsidR="00D04E78" w:rsidRPr="00746C69" w:rsidRDefault="00E72F8E" w:rsidP="00746C6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54" w:history="1">
            <w:r w:rsidR="00D04E78" w:rsidRPr="00746C69">
              <w:rPr>
                <w:rStyle w:val="Lienhypertexte"/>
                <w:noProof/>
                <w:sz w:val="22"/>
                <w:szCs w:val="22"/>
                <w:lang w:eastAsia="fr-FR"/>
              </w:rPr>
              <w:t>6.</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Résultats des dépenses sur la tuberculose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_Toc413941254 \h </w:instrText>
            </w:r>
            <w:r w:rsidRPr="00746C69">
              <w:rPr>
                <w:noProof/>
                <w:webHidden/>
                <w:sz w:val="22"/>
                <w:szCs w:val="22"/>
              </w:rPr>
            </w:r>
            <w:r w:rsidRPr="00746C69">
              <w:rPr>
                <w:noProof/>
                <w:webHidden/>
                <w:sz w:val="22"/>
                <w:szCs w:val="22"/>
              </w:rPr>
              <w:fldChar w:fldCharType="separate"/>
            </w:r>
            <w:r w:rsidR="009D71B0">
              <w:rPr>
                <w:noProof/>
                <w:webHidden/>
                <w:sz w:val="22"/>
                <w:szCs w:val="22"/>
              </w:rPr>
              <w:t>57</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55" w:history="1">
            <w:r w:rsidR="00D04E78" w:rsidRPr="00746C69">
              <w:rPr>
                <w:rStyle w:val="Lienhypertexte"/>
                <w:b w:val="0"/>
              </w:rPr>
              <w:t>6.1.</w:t>
            </w:r>
            <w:r w:rsidR="00D04E78" w:rsidRPr="00746C69">
              <w:rPr>
                <w:rFonts w:asciiTheme="minorHAnsi" w:eastAsiaTheme="minorEastAsia" w:hAnsiTheme="minorHAnsi" w:cstheme="minorBidi"/>
                <w:b w:val="0"/>
                <w:color w:val="auto"/>
              </w:rPr>
              <w:tab/>
            </w:r>
            <w:r w:rsidR="00D04E78" w:rsidRPr="00746C69">
              <w:rPr>
                <w:rStyle w:val="Lienhypertexte"/>
                <w:b w:val="0"/>
              </w:rPr>
              <w:t>Aperçu sur la situation de la tuberculose au Mali</w:t>
            </w:r>
            <w:r w:rsidR="00746C69">
              <w:rPr>
                <w:b w:val="0"/>
                <w:webHidden/>
              </w:rPr>
              <w:t>.......................................................</w:t>
            </w:r>
            <w:r w:rsidRPr="00746C69">
              <w:rPr>
                <w:b w:val="0"/>
                <w:webHidden/>
              </w:rPr>
              <w:fldChar w:fldCharType="begin"/>
            </w:r>
            <w:r w:rsidR="00D04E78" w:rsidRPr="00746C69">
              <w:rPr>
                <w:b w:val="0"/>
                <w:webHidden/>
              </w:rPr>
              <w:instrText xml:space="preserve"> PAGEREF _Toc413941255 \h </w:instrText>
            </w:r>
            <w:r w:rsidRPr="00746C69">
              <w:rPr>
                <w:b w:val="0"/>
                <w:webHidden/>
              </w:rPr>
            </w:r>
            <w:r w:rsidRPr="00746C69">
              <w:rPr>
                <w:b w:val="0"/>
                <w:webHidden/>
              </w:rPr>
              <w:fldChar w:fldCharType="separate"/>
            </w:r>
            <w:r w:rsidR="009D71B0">
              <w:rPr>
                <w:b w:val="0"/>
                <w:webHidden/>
              </w:rPr>
              <w:t>57</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56" w:history="1">
            <w:r w:rsidR="00D04E78" w:rsidRPr="00746C69">
              <w:rPr>
                <w:rStyle w:val="Lienhypertexte"/>
                <w:b w:val="0"/>
              </w:rPr>
              <w:t>6.2.</w:t>
            </w:r>
            <w:r w:rsidR="00D04E78" w:rsidRPr="00746C69">
              <w:rPr>
                <w:rFonts w:asciiTheme="minorHAnsi" w:eastAsiaTheme="minorEastAsia" w:hAnsiTheme="minorHAnsi" w:cstheme="minorBidi"/>
                <w:b w:val="0"/>
                <w:color w:val="auto"/>
              </w:rPr>
              <w:tab/>
            </w:r>
            <w:r w:rsidR="00D04E78" w:rsidRPr="00746C69">
              <w:rPr>
                <w:rStyle w:val="Lienhypertexte"/>
                <w:b w:val="0"/>
              </w:rPr>
              <w:t>Volume des dépense</w:t>
            </w:r>
            <w:r w:rsidR="00746C69">
              <w:rPr>
                <w:rStyle w:val="Lienhypertexte"/>
                <w:b w:val="0"/>
              </w:rPr>
              <w:t>s de lutte contre la tuberculose.................................................</w:t>
            </w:r>
            <w:r w:rsidRPr="00746C69">
              <w:rPr>
                <w:b w:val="0"/>
                <w:webHidden/>
              </w:rPr>
              <w:fldChar w:fldCharType="begin"/>
            </w:r>
            <w:r w:rsidR="00D04E78" w:rsidRPr="00746C69">
              <w:rPr>
                <w:b w:val="0"/>
                <w:webHidden/>
              </w:rPr>
              <w:instrText xml:space="preserve"> PAGEREF _Toc413941256 \h </w:instrText>
            </w:r>
            <w:r w:rsidRPr="00746C69">
              <w:rPr>
                <w:b w:val="0"/>
                <w:webHidden/>
              </w:rPr>
            </w:r>
            <w:r w:rsidRPr="00746C69">
              <w:rPr>
                <w:b w:val="0"/>
                <w:webHidden/>
              </w:rPr>
              <w:fldChar w:fldCharType="separate"/>
            </w:r>
            <w:r w:rsidR="009D71B0">
              <w:rPr>
                <w:b w:val="0"/>
                <w:webHidden/>
              </w:rPr>
              <w:t>58</w:t>
            </w:r>
            <w:r w:rsidRPr="00746C69">
              <w:rPr>
                <w:b w:val="0"/>
                <w:webHidden/>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57" w:history="1">
            <w:r w:rsidR="00D04E78" w:rsidRPr="00746C69">
              <w:rPr>
                <w:rStyle w:val="Lienhypertexte"/>
                <w:noProof/>
                <w:sz w:val="22"/>
                <w:szCs w:val="22"/>
              </w:rPr>
              <w:t>6.2.1.</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Recettes des régimes de financement des dépenses de la tuberculose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_Toc413941257 \h </w:instrText>
            </w:r>
            <w:r w:rsidRPr="00746C69">
              <w:rPr>
                <w:noProof/>
                <w:webHidden/>
                <w:sz w:val="22"/>
                <w:szCs w:val="22"/>
              </w:rPr>
            </w:r>
            <w:r w:rsidRPr="00746C69">
              <w:rPr>
                <w:noProof/>
                <w:webHidden/>
                <w:sz w:val="22"/>
                <w:szCs w:val="22"/>
              </w:rPr>
              <w:fldChar w:fldCharType="separate"/>
            </w:r>
            <w:r w:rsidR="009D71B0">
              <w:rPr>
                <w:noProof/>
                <w:webHidden/>
                <w:sz w:val="22"/>
                <w:szCs w:val="22"/>
              </w:rPr>
              <w:t>59</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58" w:history="1">
            <w:r w:rsidR="00D04E78" w:rsidRPr="00746C69">
              <w:rPr>
                <w:rStyle w:val="Lienhypertexte"/>
                <w:noProof/>
                <w:sz w:val="22"/>
                <w:szCs w:val="22"/>
                <w:lang w:eastAsia="fr-FR"/>
              </w:rPr>
              <w:t>6.2.2.</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fr-FR"/>
              </w:rPr>
              <w:t>Régimes de financement de la santé pour la tuberculose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_Toc413941258 \h </w:instrText>
            </w:r>
            <w:r w:rsidRPr="00746C69">
              <w:rPr>
                <w:noProof/>
                <w:webHidden/>
                <w:sz w:val="22"/>
                <w:szCs w:val="22"/>
              </w:rPr>
            </w:r>
            <w:r w:rsidRPr="00746C69">
              <w:rPr>
                <w:noProof/>
                <w:webHidden/>
                <w:sz w:val="22"/>
                <w:szCs w:val="22"/>
              </w:rPr>
              <w:fldChar w:fldCharType="separate"/>
            </w:r>
            <w:r w:rsidR="009D71B0">
              <w:rPr>
                <w:noProof/>
                <w:webHidden/>
                <w:sz w:val="22"/>
                <w:szCs w:val="22"/>
              </w:rPr>
              <w:t>59</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59" w:history="1">
            <w:r w:rsidR="00D04E78" w:rsidRPr="00746C69">
              <w:rPr>
                <w:rStyle w:val="Lienhypertexte"/>
                <w:noProof/>
                <w:sz w:val="22"/>
                <w:szCs w:val="22"/>
                <w:lang w:eastAsia="fr-FR"/>
              </w:rPr>
              <w:t>6.2.3.</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fr-FR"/>
              </w:rPr>
              <w:t>Dépenses par agents de financement de la santé pour la tuberculose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_Toc413941259 \h </w:instrText>
            </w:r>
            <w:r w:rsidRPr="00746C69">
              <w:rPr>
                <w:noProof/>
                <w:webHidden/>
                <w:sz w:val="22"/>
                <w:szCs w:val="22"/>
              </w:rPr>
            </w:r>
            <w:r w:rsidRPr="00746C69">
              <w:rPr>
                <w:noProof/>
                <w:webHidden/>
                <w:sz w:val="22"/>
                <w:szCs w:val="22"/>
              </w:rPr>
              <w:fldChar w:fldCharType="separate"/>
            </w:r>
            <w:r w:rsidR="009D71B0">
              <w:rPr>
                <w:noProof/>
                <w:webHidden/>
                <w:sz w:val="22"/>
                <w:szCs w:val="22"/>
              </w:rPr>
              <w:t>60</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60" w:history="1">
            <w:r w:rsidR="00D04E78" w:rsidRPr="00746C69">
              <w:rPr>
                <w:rStyle w:val="Lienhypertexte"/>
                <w:noProof/>
                <w:sz w:val="22"/>
                <w:szCs w:val="22"/>
                <w:lang w:eastAsia="fr-FR"/>
              </w:rPr>
              <w:t>6.2.4.</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fr-FR"/>
              </w:rPr>
              <w:t>Dépenses par prestataires des soins de santé pour la tuberculose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_Toc413941260 \h </w:instrText>
            </w:r>
            <w:r w:rsidRPr="00746C69">
              <w:rPr>
                <w:noProof/>
                <w:webHidden/>
                <w:sz w:val="22"/>
                <w:szCs w:val="22"/>
              </w:rPr>
            </w:r>
            <w:r w:rsidRPr="00746C69">
              <w:rPr>
                <w:noProof/>
                <w:webHidden/>
                <w:sz w:val="22"/>
                <w:szCs w:val="22"/>
              </w:rPr>
              <w:fldChar w:fldCharType="separate"/>
            </w:r>
            <w:r w:rsidR="009D71B0">
              <w:rPr>
                <w:noProof/>
                <w:webHidden/>
                <w:sz w:val="22"/>
                <w:szCs w:val="22"/>
              </w:rPr>
              <w:t>60</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61" w:history="1">
            <w:r w:rsidR="00D04E78" w:rsidRPr="00746C69">
              <w:rPr>
                <w:rStyle w:val="Lienhypertexte"/>
                <w:noProof/>
                <w:sz w:val="22"/>
                <w:szCs w:val="22"/>
              </w:rPr>
              <w:t>6.2.5.</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Répartition des dépenses de la tuberculose par fonction</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_Toc413941261 \h </w:instrText>
            </w:r>
            <w:r w:rsidRPr="00746C69">
              <w:rPr>
                <w:noProof/>
                <w:webHidden/>
                <w:sz w:val="22"/>
                <w:szCs w:val="22"/>
              </w:rPr>
            </w:r>
            <w:r w:rsidRPr="00746C69">
              <w:rPr>
                <w:noProof/>
                <w:webHidden/>
                <w:sz w:val="22"/>
                <w:szCs w:val="22"/>
              </w:rPr>
              <w:fldChar w:fldCharType="separate"/>
            </w:r>
            <w:r w:rsidR="009D71B0">
              <w:rPr>
                <w:noProof/>
                <w:webHidden/>
                <w:sz w:val="22"/>
                <w:szCs w:val="22"/>
              </w:rPr>
              <w:t>61</w:t>
            </w:r>
            <w:r w:rsidRPr="00746C69">
              <w:rPr>
                <w:noProof/>
                <w:webHidden/>
                <w:sz w:val="22"/>
                <w:szCs w:val="22"/>
              </w:rPr>
              <w:fldChar w:fldCharType="end"/>
            </w:r>
          </w:hyperlink>
        </w:p>
        <w:p w:rsidR="00D04E78" w:rsidRPr="00746C69" w:rsidRDefault="00E72F8E" w:rsidP="00746C6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62" w:history="1">
            <w:r w:rsidR="00D04E78" w:rsidRPr="00746C69">
              <w:rPr>
                <w:rStyle w:val="Lienhypertexte"/>
                <w:noProof/>
                <w:sz w:val="22"/>
                <w:szCs w:val="22"/>
              </w:rPr>
              <w:t>7.</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Résultats des dépenses du VIH et du SIDA</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_Toc413941262 \h </w:instrText>
            </w:r>
            <w:r w:rsidRPr="00746C69">
              <w:rPr>
                <w:noProof/>
                <w:webHidden/>
                <w:sz w:val="22"/>
                <w:szCs w:val="22"/>
              </w:rPr>
            </w:r>
            <w:r w:rsidRPr="00746C69">
              <w:rPr>
                <w:noProof/>
                <w:webHidden/>
                <w:sz w:val="22"/>
                <w:szCs w:val="22"/>
              </w:rPr>
              <w:fldChar w:fldCharType="separate"/>
            </w:r>
            <w:r w:rsidR="009D71B0">
              <w:rPr>
                <w:noProof/>
                <w:webHidden/>
                <w:sz w:val="22"/>
                <w:szCs w:val="22"/>
              </w:rPr>
              <w:t>63</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63" w:history="1">
            <w:r w:rsidR="00D04E78" w:rsidRPr="00746C69">
              <w:rPr>
                <w:rStyle w:val="Lienhypertexte"/>
                <w:b w:val="0"/>
              </w:rPr>
              <w:t>7.1.</w:t>
            </w:r>
            <w:r w:rsidR="00D04E78" w:rsidRPr="00746C69">
              <w:rPr>
                <w:rFonts w:asciiTheme="minorHAnsi" w:eastAsiaTheme="minorEastAsia" w:hAnsiTheme="minorHAnsi" w:cstheme="minorBidi"/>
                <w:b w:val="0"/>
                <w:color w:val="auto"/>
              </w:rPr>
              <w:tab/>
            </w:r>
            <w:r w:rsidR="00D04E78" w:rsidRPr="00746C69">
              <w:rPr>
                <w:rStyle w:val="Lienhypertexte"/>
                <w:b w:val="0"/>
              </w:rPr>
              <w:t>Aperçu sur la situation du VIH ET DU SIDA au Mali</w:t>
            </w:r>
            <w:r w:rsidR="00746C69">
              <w:rPr>
                <w:b w:val="0"/>
                <w:webHidden/>
              </w:rPr>
              <w:t>..................................................</w:t>
            </w:r>
            <w:r w:rsidRPr="00746C69">
              <w:rPr>
                <w:b w:val="0"/>
                <w:webHidden/>
              </w:rPr>
              <w:fldChar w:fldCharType="begin"/>
            </w:r>
            <w:r w:rsidR="00D04E78" w:rsidRPr="00746C69">
              <w:rPr>
                <w:b w:val="0"/>
                <w:webHidden/>
              </w:rPr>
              <w:instrText xml:space="preserve"> PAGEREF _Toc413941263 \h </w:instrText>
            </w:r>
            <w:r w:rsidRPr="00746C69">
              <w:rPr>
                <w:b w:val="0"/>
                <w:webHidden/>
              </w:rPr>
            </w:r>
            <w:r w:rsidRPr="00746C69">
              <w:rPr>
                <w:b w:val="0"/>
                <w:webHidden/>
              </w:rPr>
              <w:fldChar w:fldCharType="separate"/>
            </w:r>
            <w:r w:rsidR="009D71B0">
              <w:rPr>
                <w:b w:val="0"/>
                <w:webHidden/>
              </w:rPr>
              <w:t>63</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64" w:history="1">
            <w:r w:rsidR="00D04E78" w:rsidRPr="00746C69">
              <w:rPr>
                <w:rStyle w:val="Lienhypertexte"/>
                <w:b w:val="0"/>
              </w:rPr>
              <w:t>7.2.</w:t>
            </w:r>
            <w:r w:rsidR="00D04E78" w:rsidRPr="00746C69">
              <w:rPr>
                <w:rFonts w:asciiTheme="minorHAnsi" w:eastAsiaTheme="minorEastAsia" w:hAnsiTheme="minorHAnsi" w:cstheme="minorBidi"/>
                <w:b w:val="0"/>
                <w:color w:val="auto"/>
              </w:rPr>
              <w:tab/>
            </w:r>
            <w:r w:rsidR="00D04E78" w:rsidRPr="00746C69">
              <w:rPr>
                <w:rStyle w:val="Lienhypertexte"/>
                <w:b w:val="0"/>
              </w:rPr>
              <w:t>Volume des dépenses pour la lutte contre le VIH Sida</w:t>
            </w:r>
            <w:r w:rsidR="00746C69">
              <w:rPr>
                <w:b w:val="0"/>
                <w:webHidden/>
              </w:rPr>
              <w:t>..............................................</w:t>
            </w:r>
            <w:r w:rsidRPr="00746C69">
              <w:rPr>
                <w:b w:val="0"/>
                <w:webHidden/>
              </w:rPr>
              <w:fldChar w:fldCharType="begin"/>
            </w:r>
            <w:r w:rsidR="00D04E78" w:rsidRPr="00746C69">
              <w:rPr>
                <w:b w:val="0"/>
                <w:webHidden/>
              </w:rPr>
              <w:instrText xml:space="preserve"> PAGEREF _Toc413941264 \h </w:instrText>
            </w:r>
            <w:r w:rsidRPr="00746C69">
              <w:rPr>
                <w:b w:val="0"/>
                <w:webHidden/>
              </w:rPr>
            </w:r>
            <w:r w:rsidRPr="00746C69">
              <w:rPr>
                <w:b w:val="0"/>
                <w:webHidden/>
              </w:rPr>
              <w:fldChar w:fldCharType="separate"/>
            </w:r>
            <w:r w:rsidR="009D71B0">
              <w:rPr>
                <w:b w:val="0"/>
                <w:webHidden/>
              </w:rPr>
              <w:t>63</w:t>
            </w:r>
            <w:r w:rsidRPr="00746C69">
              <w:rPr>
                <w:b w:val="0"/>
                <w:webHidden/>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65" w:history="1">
            <w:r w:rsidR="00D04E78" w:rsidRPr="00746C69">
              <w:rPr>
                <w:rStyle w:val="Lienhypertexte"/>
                <w:noProof/>
                <w:sz w:val="22"/>
                <w:szCs w:val="22"/>
                <w:lang w:eastAsia="en-US"/>
              </w:rPr>
              <w:t>7.2.1.Dépenses par recettes des régimes de financement de la santé pour le VIH et du SIDA</w:t>
            </w:r>
            <w:r w:rsidR="00746C69">
              <w:rPr>
                <w:noProof/>
                <w:webHidden/>
                <w:sz w:val="22"/>
                <w:szCs w:val="22"/>
              </w:rPr>
              <w:t>......................................................................................................................................</w:t>
            </w:r>
            <w:r w:rsidRPr="00746C69">
              <w:rPr>
                <w:noProof/>
                <w:webHidden/>
                <w:sz w:val="22"/>
                <w:szCs w:val="22"/>
              </w:rPr>
              <w:fldChar w:fldCharType="begin"/>
            </w:r>
            <w:r w:rsidR="00D04E78" w:rsidRPr="00746C69">
              <w:rPr>
                <w:noProof/>
                <w:webHidden/>
                <w:sz w:val="22"/>
                <w:szCs w:val="22"/>
              </w:rPr>
              <w:instrText xml:space="preserve"> PAGEREF _Toc413941265 \h </w:instrText>
            </w:r>
            <w:r w:rsidRPr="00746C69">
              <w:rPr>
                <w:noProof/>
                <w:webHidden/>
                <w:sz w:val="22"/>
                <w:szCs w:val="22"/>
              </w:rPr>
            </w:r>
            <w:r w:rsidRPr="00746C69">
              <w:rPr>
                <w:noProof/>
                <w:webHidden/>
                <w:sz w:val="22"/>
                <w:szCs w:val="22"/>
              </w:rPr>
              <w:fldChar w:fldCharType="separate"/>
            </w:r>
            <w:r w:rsidR="009D71B0">
              <w:rPr>
                <w:noProof/>
                <w:webHidden/>
                <w:sz w:val="22"/>
                <w:szCs w:val="22"/>
              </w:rPr>
              <w:t>64</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66" w:history="1">
            <w:r w:rsidR="00D04E78" w:rsidRPr="00746C69">
              <w:rPr>
                <w:rStyle w:val="Lienhypertexte"/>
                <w:noProof/>
                <w:sz w:val="22"/>
                <w:szCs w:val="22"/>
                <w:lang w:eastAsia="en-US"/>
              </w:rPr>
              <w:t>7.2.2.</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Dépenses par régime de financement de la santé pour VIH et le SIDA</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_Toc413941266 \h </w:instrText>
            </w:r>
            <w:r w:rsidRPr="00746C69">
              <w:rPr>
                <w:noProof/>
                <w:webHidden/>
                <w:sz w:val="22"/>
                <w:szCs w:val="22"/>
              </w:rPr>
            </w:r>
            <w:r w:rsidRPr="00746C69">
              <w:rPr>
                <w:noProof/>
                <w:webHidden/>
                <w:sz w:val="22"/>
                <w:szCs w:val="22"/>
              </w:rPr>
              <w:fldChar w:fldCharType="separate"/>
            </w:r>
            <w:r w:rsidR="009D71B0">
              <w:rPr>
                <w:noProof/>
                <w:webHidden/>
                <w:sz w:val="22"/>
                <w:szCs w:val="22"/>
              </w:rPr>
              <w:t>64</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67" w:history="1">
            <w:r w:rsidR="00D04E78" w:rsidRPr="00746C69">
              <w:rPr>
                <w:rStyle w:val="Lienhypertexte"/>
                <w:noProof/>
                <w:sz w:val="22"/>
                <w:szCs w:val="22"/>
                <w:lang w:eastAsia="en-US"/>
              </w:rPr>
              <w:t>7.2.3.</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Dépenses par agents de financement de la santé pour le VIH et le SIDA</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_Toc413941267 \h </w:instrText>
            </w:r>
            <w:r w:rsidRPr="00746C69">
              <w:rPr>
                <w:noProof/>
                <w:webHidden/>
                <w:sz w:val="22"/>
                <w:szCs w:val="22"/>
              </w:rPr>
            </w:r>
            <w:r w:rsidRPr="00746C69">
              <w:rPr>
                <w:noProof/>
                <w:webHidden/>
                <w:sz w:val="22"/>
                <w:szCs w:val="22"/>
              </w:rPr>
              <w:fldChar w:fldCharType="separate"/>
            </w:r>
            <w:r w:rsidR="009D71B0">
              <w:rPr>
                <w:noProof/>
                <w:webHidden/>
                <w:sz w:val="22"/>
                <w:szCs w:val="22"/>
              </w:rPr>
              <w:t>65</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68" w:history="1">
            <w:r w:rsidR="00D04E78" w:rsidRPr="00746C69">
              <w:rPr>
                <w:rStyle w:val="Lienhypertexte"/>
                <w:noProof/>
                <w:sz w:val="22"/>
                <w:szCs w:val="22"/>
                <w:lang w:eastAsia="en-US"/>
              </w:rPr>
              <w:t>7.2.4.</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Dépenses par prestataires de soins de santé pour le VIH et du SIDA</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_Toc413941268 \h </w:instrText>
            </w:r>
            <w:r w:rsidRPr="00746C69">
              <w:rPr>
                <w:noProof/>
                <w:webHidden/>
                <w:sz w:val="22"/>
                <w:szCs w:val="22"/>
              </w:rPr>
            </w:r>
            <w:r w:rsidRPr="00746C69">
              <w:rPr>
                <w:noProof/>
                <w:webHidden/>
                <w:sz w:val="22"/>
                <w:szCs w:val="22"/>
              </w:rPr>
              <w:fldChar w:fldCharType="separate"/>
            </w:r>
            <w:r w:rsidR="009D71B0">
              <w:rPr>
                <w:noProof/>
                <w:webHidden/>
                <w:sz w:val="22"/>
                <w:szCs w:val="22"/>
              </w:rPr>
              <w:t>65</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69" w:history="1">
            <w:r w:rsidR="00D04E78" w:rsidRPr="00746C69">
              <w:rPr>
                <w:rStyle w:val="Lienhypertexte"/>
                <w:noProof/>
                <w:sz w:val="22"/>
                <w:szCs w:val="22"/>
                <w:lang w:eastAsia="en-US"/>
              </w:rPr>
              <w:t>7.2.5.</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Dépenses du VIH et du SIDA par fonction sanitaire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_Toc413941269 \h </w:instrText>
            </w:r>
            <w:r w:rsidRPr="00746C69">
              <w:rPr>
                <w:noProof/>
                <w:webHidden/>
                <w:sz w:val="22"/>
                <w:szCs w:val="22"/>
              </w:rPr>
            </w:r>
            <w:r w:rsidRPr="00746C69">
              <w:rPr>
                <w:noProof/>
                <w:webHidden/>
                <w:sz w:val="22"/>
                <w:szCs w:val="22"/>
              </w:rPr>
              <w:fldChar w:fldCharType="separate"/>
            </w:r>
            <w:r w:rsidR="009D71B0">
              <w:rPr>
                <w:noProof/>
                <w:webHidden/>
                <w:sz w:val="22"/>
                <w:szCs w:val="22"/>
              </w:rPr>
              <w:t>66</w:t>
            </w:r>
            <w:r w:rsidRPr="00746C69">
              <w:rPr>
                <w:noProof/>
                <w:webHidden/>
                <w:sz w:val="22"/>
                <w:szCs w:val="22"/>
              </w:rPr>
              <w:fldChar w:fldCharType="end"/>
            </w:r>
          </w:hyperlink>
        </w:p>
        <w:p w:rsidR="00D04E78" w:rsidRPr="00746C69" w:rsidRDefault="00E72F8E" w:rsidP="00746C6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70" w:history="1">
            <w:r w:rsidR="00D04E78" w:rsidRPr="00746C69">
              <w:rPr>
                <w:rStyle w:val="Lienhypertexte"/>
                <w:noProof/>
                <w:sz w:val="22"/>
                <w:szCs w:val="22"/>
              </w:rPr>
              <w:t>8.</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rPr>
              <w:t>Résultats des dépenses de la Santé de la Reproduction</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_Toc413941270 \h </w:instrText>
            </w:r>
            <w:r w:rsidRPr="00746C69">
              <w:rPr>
                <w:noProof/>
                <w:webHidden/>
                <w:sz w:val="22"/>
                <w:szCs w:val="22"/>
              </w:rPr>
            </w:r>
            <w:r w:rsidRPr="00746C69">
              <w:rPr>
                <w:noProof/>
                <w:webHidden/>
                <w:sz w:val="22"/>
                <w:szCs w:val="22"/>
              </w:rPr>
              <w:fldChar w:fldCharType="separate"/>
            </w:r>
            <w:r w:rsidR="009D71B0">
              <w:rPr>
                <w:noProof/>
                <w:webHidden/>
                <w:sz w:val="22"/>
                <w:szCs w:val="22"/>
              </w:rPr>
              <w:t>66</w:t>
            </w:r>
            <w:r w:rsidRPr="00746C69">
              <w:rPr>
                <w:noProof/>
                <w:webHidden/>
                <w:sz w:val="22"/>
                <w:szCs w:val="22"/>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71" w:history="1">
            <w:r w:rsidR="00D04E78" w:rsidRPr="00746C69">
              <w:rPr>
                <w:rStyle w:val="Lienhypertexte"/>
                <w:b w:val="0"/>
              </w:rPr>
              <w:t>8.1.</w:t>
            </w:r>
            <w:r w:rsidR="00D04E78" w:rsidRPr="00746C69">
              <w:rPr>
                <w:rFonts w:asciiTheme="minorHAnsi" w:eastAsiaTheme="minorEastAsia" w:hAnsiTheme="minorHAnsi" w:cstheme="minorBidi"/>
                <w:b w:val="0"/>
                <w:color w:val="auto"/>
              </w:rPr>
              <w:tab/>
            </w:r>
            <w:r w:rsidR="00D04E78" w:rsidRPr="00746C69">
              <w:rPr>
                <w:rStyle w:val="Lienhypertexte"/>
                <w:b w:val="0"/>
              </w:rPr>
              <w:t>Aperçu sur la situation de la SR au Mali</w:t>
            </w:r>
            <w:r w:rsidR="00746C69">
              <w:rPr>
                <w:b w:val="0"/>
                <w:webHidden/>
              </w:rPr>
              <w:t>....................................................................</w:t>
            </w:r>
            <w:r w:rsidRPr="00746C69">
              <w:rPr>
                <w:b w:val="0"/>
                <w:webHidden/>
              </w:rPr>
              <w:fldChar w:fldCharType="begin"/>
            </w:r>
            <w:r w:rsidR="00D04E78" w:rsidRPr="00746C69">
              <w:rPr>
                <w:b w:val="0"/>
                <w:webHidden/>
              </w:rPr>
              <w:instrText xml:space="preserve"> PAGEREF _Toc413941271 \h </w:instrText>
            </w:r>
            <w:r w:rsidRPr="00746C69">
              <w:rPr>
                <w:b w:val="0"/>
                <w:webHidden/>
              </w:rPr>
            </w:r>
            <w:r w:rsidRPr="00746C69">
              <w:rPr>
                <w:b w:val="0"/>
                <w:webHidden/>
              </w:rPr>
              <w:fldChar w:fldCharType="separate"/>
            </w:r>
            <w:r w:rsidR="009D71B0">
              <w:rPr>
                <w:b w:val="0"/>
                <w:webHidden/>
              </w:rPr>
              <w:t>66</w:t>
            </w:r>
            <w:r w:rsidRPr="00746C69">
              <w:rPr>
                <w:b w:val="0"/>
                <w:webHidden/>
              </w:rPr>
              <w:fldChar w:fldCharType="end"/>
            </w:r>
          </w:hyperlink>
        </w:p>
        <w:p w:rsidR="00D04E78" w:rsidRPr="00746C69" w:rsidRDefault="00E72F8E" w:rsidP="00746C69">
          <w:pPr>
            <w:pStyle w:val="TM2"/>
            <w:tabs>
              <w:tab w:val="left" w:pos="1100"/>
            </w:tabs>
            <w:spacing w:after="0" w:line="240" w:lineRule="auto"/>
            <w:rPr>
              <w:rFonts w:asciiTheme="minorHAnsi" w:eastAsiaTheme="minorEastAsia" w:hAnsiTheme="minorHAnsi" w:cstheme="minorBidi"/>
              <w:b w:val="0"/>
              <w:color w:val="auto"/>
            </w:rPr>
          </w:pPr>
          <w:hyperlink w:anchor="_Toc413941272" w:history="1">
            <w:r w:rsidR="00D04E78" w:rsidRPr="00746C69">
              <w:rPr>
                <w:rStyle w:val="Lienhypertexte"/>
                <w:b w:val="0"/>
              </w:rPr>
              <w:t>8.2.</w:t>
            </w:r>
            <w:r w:rsidR="00D04E78" w:rsidRPr="00746C69">
              <w:rPr>
                <w:rFonts w:asciiTheme="minorHAnsi" w:eastAsiaTheme="minorEastAsia" w:hAnsiTheme="minorHAnsi" w:cstheme="minorBidi"/>
                <w:b w:val="0"/>
                <w:color w:val="auto"/>
              </w:rPr>
              <w:tab/>
            </w:r>
            <w:r w:rsidR="00D04E78" w:rsidRPr="00746C69">
              <w:rPr>
                <w:rStyle w:val="Lienhypertexte"/>
                <w:b w:val="0"/>
              </w:rPr>
              <w:t>Volume des dépenses liées à la santé de la reproduction</w:t>
            </w:r>
            <w:r w:rsidR="00746C69">
              <w:rPr>
                <w:b w:val="0"/>
                <w:webHidden/>
              </w:rPr>
              <w:t>.........................................</w:t>
            </w:r>
            <w:r w:rsidRPr="00746C69">
              <w:rPr>
                <w:rFonts w:ascii="Times New Roman" w:eastAsia="Calibri" w:hAnsi="Times New Roman" w:cs="Times New Roman"/>
                <w:b w:val="0"/>
                <w:bCs/>
                <w:webHidden/>
                <w:lang w:eastAsia="zh-CN"/>
              </w:rPr>
              <w:fldChar w:fldCharType="begin"/>
            </w:r>
            <w:r w:rsidR="00D04E78" w:rsidRPr="00746C69">
              <w:rPr>
                <w:rFonts w:ascii="Times New Roman" w:eastAsia="Calibri" w:hAnsi="Times New Roman" w:cs="Times New Roman"/>
                <w:b w:val="0"/>
                <w:bCs/>
                <w:webHidden/>
                <w:lang w:eastAsia="zh-CN"/>
              </w:rPr>
              <w:instrText xml:space="preserve"> PAGEREF _Toc413941272 \h </w:instrText>
            </w:r>
            <w:r w:rsidRPr="00746C69">
              <w:rPr>
                <w:rFonts w:ascii="Times New Roman" w:eastAsia="Calibri" w:hAnsi="Times New Roman" w:cs="Times New Roman"/>
                <w:b w:val="0"/>
                <w:bCs/>
                <w:webHidden/>
                <w:lang w:eastAsia="zh-CN"/>
              </w:rPr>
            </w:r>
            <w:r w:rsidRPr="00746C69">
              <w:rPr>
                <w:rFonts w:ascii="Times New Roman" w:eastAsia="Calibri" w:hAnsi="Times New Roman" w:cs="Times New Roman"/>
                <w:b w:val="0"/>
                <w:bCs/>
                <w:webHidden/>
                <w:lang w:eastAsia="zh-CN"/>
              </w:rPr>
              <w:fldChar w:fldCharType="separate"/>
            </w:r>
            <w:r w:rsidR="009D71B0">
              <w:rPr>
                <w:rFonts w:ascii="Times New Roman" w:eastAsia="Calibri" w:hAnsi="Times New Roman" w:cs="Times New Roman"/>
                <w:b w:val="0"/>
                <w:bCs/>
                <w:webHidden/>
                <w:lang w:eastAsia="zh-CN"/>
              </w:rPr>
              <w:t>68</w:t>
            </w:r>
            <w:r w:rsidRPr="00746C69">
              <w:rPr>
                <w:rFonts w:ascii="Times New Roman" w:eastAsia="Calibri" w:hAnsi="Times New Roman" w:cs="Times New Roman"/>
                <w:b w:val="0"/>
                <w:bCs/>
                <w:webHidden/>
                <w:lang w:eastAsia="zh-CN"/>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73" w:history="1">
            <w:r w:rsidR="00D04E78" w:rsidRPr="00746C69">
              <w:rPr>
                <w:rStyle w:val="Lienhypertexte"/>
                <w:noProof/>
                <w:sz w:val="22"/>
                <w:szCs w:val="22"/>
                <w:lang w:eastAsia="en-US"/>
              </w:rPr>
              <w:t>8.2.1.Recettes des régimes de financement des dépenses de la Santé de la Reproduction</w:t>
            </w:r>
            <w:r w:rsidR="00746C69">
              <w:rPr>
                <w:noProof/>
                <w:webHidden/>
                <w:sz w:val="22"/>
                <w:szCs w:val="22"/>
              </w:rPr>
              <w:t>.........................................................................................................................</w:t>
            </w:r>
            <w:r w:rsidRPr="00746C69">
              <w:rPr>
                <w:noProof/>
                <w:webHidden/>
                <w:sz w:val="22"/>
                <w:szCs w:val="22"/>
              </w:rPr>
              <w:fldChar w:fldCharType="begin"/>
            </w:r>
            <w:r w:rsidR="00D04E78" w:rsidRPr="00746C69">
              <w:rPr>
                <w:noProof/>
                <w:webHidden/>
                <w:sz w:val="22"/>
                <w:szCs w:val="22"/>
              </w:rPr>
              <w:instrText xml:space="preserve"> PAGEREF _Toc413941273 \h </w:instrText>
            </w:r>
            <w:r w:rsidRPr="00746C69">
              <w:rPr>
                <w:noProof/>
                <w:webHidden/>
                <w:sz w:val="22"/>
                <w:szCs w:val="22"/>
              </w:rPr>
            </w:r>
            <w:r w:rsidRPr="00746C69">
              <w:rPr>
                <w:noProof/>
                <w:webHidden/>
                <w:sz w:val="22"/>
                <w:szCs w:val="22"/>
              </w:rPr>
              <w:fldChar w:fldCharType="separate"/>
            </w:r>
            <w:r w:rsidR="009D71B0">
              <w:rPr>
                <w:noProof/>
                <w:webHidden/>
                <w:sz w:val="22"/>
                <w:szCs w:val="22"/>
              </w:rPr>
              <w:t>68</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74" w:history="1">
            <w:r w:rsidR="00D04E78" w:rsidRPr="00746C69">
              <w:rPr>
                <w:rStyle w:val="Lienhypertexte"/>
                <w:noProof/>
                <w:sz w:val="22"/>
                <w:szCs w:val="22"/>
                <w:lang w:eastAsia="en-US"/>
              </w:rPr>
              <w:t>8.2.2.</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Régimes de financement des dépenses de la SR par région</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_Toc413941274 \h </w:instrText>
            </w:r>
            <w:r w:rsidRPr="00746C69">
              <w:rPr>
                <w:noProof/>
                <w:webHidden/>
                <w:sz w:val="22"/>
                <w:szCs w:val="22"/>
              </w:rPr>
            </w:r>
            <w:r w:rsidRPr="00746C69">
              <w:rPr>
                <w:noProof/>
                <w:webHidden/>
                <w:sz w:val="22"/>
                <w:szCs w:val="22"/>
              </w:rPr>
              <w:fldChar w:fldCharType="separate"/>
            </w:r>
            <w:r w:rsidR="009D71B0">
              <w:rPr>
                <w:noProof/>
                <w:webHidden/>
                <w:sz w:val="22"/>
                <w:szCs w:val="22"/>
              </w:rPr>
              <w:t>69</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75" w:history="1">
            <w:r w:rsidR="00D04E78" w:rsidRPr="00746C69">
              <w:rPr>
                <w:rStyle w:val="Lienhypertexte"/>
                <w:noProof/>
                <w:sz w:val="22"/>
                <w:szCs w:val="22"/>
                <w:lang w:eastAsia="en-US"/>
              </w:rPr>
              <w:t>8.2.3.</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Répartition des dépenses de la SR par unité institutionnelle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_Toc413941275 \h </w:instrText>
            </w:r>
            <w:r w:rsidRPr="00746C69">
              <w:rPr>
                <w:noProof/>
                <w:webHidden/>
                <w:sz w:val="22"/>
                <w:szCs w:val="22"/>
              </w:rPr>
            </w:r>
            <w:r w:rsidRPr="00746C69">
              <w:rPr>
                <w:noProof/>
                <w:webHidden/>
                <w:sz w:val="22"/>
                <w:szCs w:val="22"/>
              </w:rPr>
              <w:fldChar w:fldCharType="separate"/>
            </w:r>
            <w:r w:rsidR="009D71B0">
              <w:rPr>
                <w:noProof/>
                <w:webHidden/>
                <w:sz w:val="22"/>
                <w:szCs w:val="22"/>
              </w:rPr>
              <w:t>69</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76" w:history="1">
            <w:r w:rsidR="00D04E78" w:rsidRPr="00746C69">
              <w:rPr>
                <w:rStyle w:val="Lienhypertexte"/>
                <w:noProof/>
                <w:sz w:val="22"/>
                <w:szCs w:val="22"/>
                <w:lang w:eastAsia="en-US"/>
              </w:rPr>
              <w:t>8.2.4.</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Répartition des dépenses  de la santé de la reproduction par prestataire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_Toc413941276 \h </w:instrText>
            </w:r>
            <w:r w:rsidRPr="00746C69">
              <w:rPr>
                <w:noProof/>
                <w:webHidden/>
                <w:sz w:val="22"/>
                <w:szCs w:val="22"/>
              </w:rPr>
            </w:r>
            <w:r w:rsidRPr="00746C69">
              <w:rPr>
                <w:noProof/>
                <w:webHidden/>
                <w:sz w:val="22"/>
                <w:szCs w:val="22"/>
              </w:rPr>
              <w:fldChar w:fldCharType="separate"/>
            </w:r>
            <w:r w:rsidR="009D71B0">
              <w:rPr>
                <w:noProof/>
                <w:webHidden/>
                <w:sz w:val="22"/>
                <w:szCs w:val="22"/>
              </w:rPr>
              <w:t>70</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77" w:history="1">
            <w:r w:rsidR="00D04E78" w:rsidRPr="00746C69">
              <w:rPr>
                <w:rStyle w:val="Lienhypertexte"/>
                <w:noProof/>
                <w:sz w:val="22"/>
                <w:szCs w:val="22"/>
                <w:lang w:eastAsia="en-US"/>
              </w:rPr>
              <w:t>8.2.5.</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Répartition des dépenses  de la SR par fonction</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_Toc413941277 \h </w:instrText>
            </w:r>
            <w:r w:rsidRPr="00746C69">
              <w:rPr>
                <w:noProof/>
                <w:webHidden/>
                <w:sz w:val="22"/>
                <w:szCs w:val="22"/>
              </w:rPr>
            </w:r>
            <w:r w:rsidRPr="00746C69">
              <w:rPr>
                <w:noProof/>
                <w:webHidden/>
                <w:sz w:val="22"/>
                <w:szCs w:val="22"/>
              </w:rPr>
              <w:fldChar w:fldCharType="separate"/>
            </w:r>
            <w:r w:rsidR="009D71B0">
              <w:rPr>
                <w:noProof/>
                <w:webHidden/>
                <w:sz w:val="22"/>
                <w:szCs w:val="22"/>
              </w:rPr>
              <w:t>71</w:t>
            </w:r>
            <w:r w:rsidRPr="00746C69">
              <w:rPr>
                <w:noProof/>
                <w:webHidden/>
                <w:sz w:val="22"/>
                <w:szCs w:val="22"/>
              </w:rPr>
              <w:fldChar w:fldCharType="end"/>
            </w:r>
          </w:hyperlink>
        </w:p>
        <w:p w:rsidR="00D04E78" w:rsidRPr="00746C69" w:rsidRDefault="00E72F8E" w:rsidP="00746C6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78" w:history="1">
            <w:r w:rsidR="00D04E78" w:rsidRPr="00746C69">
              <w:rPr>
                <w:rStyle w:val="Lienhypertexte"/>
                <w:noProof/>
                <w:sz w:val="22"/>
                <w:szCs w:val="22"/>
                <w:lang w:eastAsia="en-US"/>
              </w:rPr>
              <w:t>8.2.6.</w:t>
            </w:r>
            <w:r w:rsidR="00D04E78" w:rsidRPr="00746C69">
              <w:rPr>
                <w:rFonts w:asciiTheme="minorHAnsi" w:eastAsiaTheme="minorEastAsia" w:hAnsiTheme="minorHAnsi" w:cstheme="minorBidi"/>
                <w:bCs w:val="0"/>
                <w:noProof/>
                <w:color w:val="auto"/>
                <w:sz w:val="22"/>
                <w:szCs w:val="22"/>
                <w:lang w:eastAsia="fr-FR"/>
              </w:rPr>
              <w:tab/>
            </w:r>
            <w:r w:rsidR="00D04E78" w:rsidRPr="00746C69">
              <w:rPr>
                <w:rStyle w:val="Lienhypertexte"/>
                <w:noProof/>
                <w:sz w:val="22"/>
                <w:szCs w:val="22"/>
                <w:lang w:eastAsia="en-US"/>
              </w:rPr>
              <w:t>Répartition des dépenses  de la SR par domaine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_Toc413941278 \h </w:instrText>
            </w:r>
            <w:r w:rsidRPr="00746C69">
              <w:rPr>
                <w:noProof/>
                <w:webHidden/>
                <w:sz w:val="22"/>
                <w:szCs w:val="22"/>
              </w:rPr>
            </w:r>
            <w:r w:rsidRPr="00746C69">
              <w:rPr>
                <w:noProof/>
                <w:webHidden/>
                <w:sz w:val="22"/>
                <w:szCs w:val="22"/>
              </w:rPr>
              <w:fldChar w:fldCharType="separate"/>
            </w:r>
            <w:r w:rsidR="009D71B0">
              <w:rPr>
                <w:noProof/>
                <w:webHidden/>
                <w:sz w:val="22"/>
                <w:szCs w:val="22"/>
              </w:rPr>
              <w:t>71</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79" w:history="1">
            <w:r w:rsidR="00D04E78" w:rsidRPr="00746C69">
              <w:rPr>
                <w:rStyle w:val="Lienhypertexte"/>
                <w:noProof/>
                <w:sz w:val="22"/>
                <w:szCs w:val="22"/>
              </w:rPr>
              <w:t>Conclusion</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_Toc413941279 \h </w:instrText>
            </w:r>
            <w:r w:rsidRPr="00746C69">
              <w:rPr>
                <w:noProof/>
                <w:webHidden/>
                <w:sz w:val="22"/>
                <w:szCs w:val="22"/>
              </w:rPr>
            </w:r>
            <w:r w:rsidRPr="00746C69">
              <w:rPr>
                <w:noProof/>
                <w:webHidden/>
                <w:sz w:val="22"/>
                <w:szCs w:val="22"/>
              </w:rPr>
              <w:fldChar w:fldCharType="separate"/>
            </w:r>
            <w:r w:rsidR="009D71B0">
              <w:rPr>
                <w:noProof/>
                <w:webHidden/>
                <w:sz w:val="22"/>
                <w:szCs w:val="22"/>
              </w:rPr>
              <w:t>73</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80" w:history="1">
            <w:r w:rsidR="00D04E78" w:rsidRPr="00746C69">
              <w:rPr>
                <w:rStyle w:val="Lienhypertexte"/>
                <w:noProof/>
                <w:sz w:val="22"/>
                <w:szCs w:val="22"/>
              </w:rPr>
              <w:t>Recommandations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_Toc413941280 \h </w:instrText>
            </w:r>
            <w:r w:rsidRPr="00746C69">
              <w:rPr>
                <w:noProof/>
                <w:webHidden/>
                <w:sz w:val="22"/>
                <w:szCs w:val="22"/>
              </w:rPr>
            </w:r>
            <w:r w:rsidRPr="00746C69">
              <w:rPr>
                <w:noProof/>
                <w:webHidden/>
                <w:sz w:val="22"/>
                <w:szCs w:val="22"/>
              </w:rPr>
              <w:fldChar w:fldCharType="separate"/>
            </w:r>
            <w:r w:rsidR="009D71B0">
              <w:rPr>
                <w:noProof/>
                <w:webHidden/>
                <w:sz w:val="22"/>
                <w:szCs w:val="22"/>
              </w:rPr>
              <w:t>75</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81" w:history="1">
            <w:r w:rsidR="00D04E78" w:rsidRPr="00746C69">
              <w:rPr>
                <w:rStyle w:val="Lienhypertexte"/>
                <w:noProof/>
                <w:sz w:val="22"/>
                <w:szCs w:val="22"/>
              </w:rPr>
              <w:t>Bibliographie</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_Toc413941281 \h </w:instrText>
            </w:r>
            <w:r w:rsidRPr="00746C69">
              <w:rPr>
                <w:noProof/>
                <w:webHidden/>
                <w:sz w:val="22"/>
                <w:szCs w:val="22"/>
              </w:rPr>
            </w:r>
            <w:r w:rsidRPr="00746C69">
              <w:rPr>
                <w:noProof/>
                <w:webHidden/>
                <w:sz w:val="22"/>
                <w:szCs w:val="22"/>
              </w:rPr>
              <w:fldChar w:fldCharType="separate"/>
            </w:r>
            <w:r w:rsidR="009D71B0">
              <w:rPr>
                <w:noProof/>
                <w:webHidden/>
                <w:sz w:val="22"/>
                <w:szCs w:val="22"/>
              </w:rPr>
              <w:t>I</w:t>
            </w:r>
            <w:r w:rsidRPr="00746C69">
              <w:rPr>
                <w:noProof/>
                <w:webHidden/>
                <w:sz w:val="22"/>
                <w:szCs w:val="22"/>
              </w:rPr>
              <w:fldChar w:fldCharType="end"/>
            </w:r>
          </w:hyperlink>
        </w:p>
        <w:p w:rsidR="00D04E78" w:rsidRPr="00746C69" w:rsidRDefault="00E72F8E" w:rsidP="00746C6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82" w:history="1">
            <w:r w:rsidR="00D04E78" w:rsidRPr="00746C69">
              <w:rPr>
                <w:rStyle w:val="Lienhypertexte"/>
                <w:noProof/>
                <w:sz w:val="22"/>
                <w:szCs w:val="22"/>
              </w:rPr>
              <w:t>Equipe technique d’élaboration des comptes de la santé</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_Toc413941282 \h </w:instrText>
            </w:r>
            <w:r w:rsidRPr="00746C69">
              <w:rPr>
                <w:noProof/>
                <w:webHidden/>
                <w:sz w:val="22"/>
                <w:szCs w:val="22"/>
              </w:rPr>
            </w:r>
            <w:r w:rsidRPr="00746C69">
              <w:rPr>
                <w:noProof/>
                <w:webHidden/>
                <w:sz w:val="22"/>
                <w:szCs w:val="22"/>
              </w:rPr>
              <w:fldChar w:fldCharType="separate"/>
            </w:r>
            <w:r w:rsidR="009D71B0">
              <w:rPr>
                <w:noProof/>
                <w:webHidden/>
                <w:sz w:val="22"/>
                <w:szCs w:val="22"/>
              </w:rPr>
              <w:t>II</w:t>
            </w:r>
            <w:r w:rsidRPr="00746C69">
              <w:rPr>
                <w:noProof/>
                <w:webHidden/>
                <w:sz w:val="22"/>
                <w:szCs w:val="22"/>
              </w:rPr>
              <w:fldChar w:fldCharType="end"/>
            </w:r>
          </w:hyperlink>
        </w:p>
        <w:p w:rsidR="00D04E78" w:rsidRPr="00746C69" w:rsidRDefault="00E72F8E" w:rsidP="00746C6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13941283" w:history="1">
            <w:r w:rsidR="00D04E78" w:rsidRPr="00746C69">
              <w:rPr>
                <w:rStyle w:val="Lienhypertexte"/>
                <w:noProof/>
                <w:sz w:val="22"/>
                <w:szCs w:val="22"/>
              </w:rPr>
              <w:t>Annexes</w:t>
            </w:r>
            <w:r w:rsidR="00D04E78" w:rsidRPr="00746C69">
              <w:rPr>
                <w:noProof/>
                <w:webHidden/>
                <w:sz w:val="22"/>
                <w:szCs w:val="22"/>
              </w:rPr>
              <w:tab/>
            </w:r>
            <w:r w:rsidRPr="00746C69">
              <w:rPr>
                <w:noProof/>
                <w:webHidden/>
                <w:sz w:val="22"/>
                <w:szCs w:val="22"/>
              </w:rPr>
              <w:fldChar w:fldCharType="begin"/>
            </w:r>
            <w:r w:rsidR="00D04E78" w:rsidRPr="00746C69">
              <w:rPr>
                <w:noProof/>
                <w:webHidden/>
                <w:sz w:val="22"/>
                <w:szCs w:val="22"/>
              </w:rPr>
              <w:instrText xml:space="preserve"> PAGEREF _Toc413941283 \h </w:instrText>
            </w:r>
            <w:r w:rsidRPr="00746C69">
              <w:rPr>
                <w:noProof/>
                <w:webHidden/>
                <w:sz w:val="22"/>
                <w:szCs w:val="22"/>
              </w:rPr>
            </w:r>
            <w:r w:rsidRPr="00746C69">
              <w:rPr>
                <w:noProof/>
                <w:webHidden/>
                <w:sz w:val="22"/>
                <w:szCs w:val="22"/>
              </w:rPr>
              <w:fldChar w:fldCharType="separate"/>
            </w:r>
            <w:r w:rsidR="009D71B0">
              <w:rPr>
                <w:noProof/>
                <w:webHidden/>
                <w:sz w:val="22"/>
                <w:szCs w:val="22"/>
              </w:rPr>
              <w:t>III</w:t>
            </w:r>
            <w:r w:rsidRPr="00746C69">
              <w:rPr>
                <w:noProof/>
                <w:webHidden/>
                <w:sz w:val="22"/>
                <w:szCs w:val="22"/>
              </w:rPr>
              <w:fldChar w:fldCharType="end"/>
            </w:r>
          </w:hyperlink>
        </w:p>
        <w:p w:rsidR="00D04E78" w:rsidRPr="00746C69" w:rsidRDefault="00E72F8E" w:rsidP="00746C69">
          <w:pPr>
            <w:spacing w:after="0" w:line="240" w:lineRule="auto"/>
            <w:rPr>
              <w:sz w:val="22"/>
              <w:szCs w:val="22"/>
            </w:rPr>
          </w:pPr>
          <w:r w:rsidRPr="00746C69">
            <w:rPr>
              <w:b/>
              <w:sz w:val="22"/>
              <w:szCs w:val="22"/>
            </w:rPr>
            <w:fldChar w:fldCharType="end"/>
          </w:r>
        </w:p>
      </w:sdtContent>
    </w:sdt>
    <w:p w:rsidR="00D04E78" w:rsidRDefault="00D04E78">
      <w:pPr>
        <w:autoSpaceDE/>
        <w:autoSpaceDN/>
        <w:adjustRightInd/>
        <w:spacing w:after="200" w:line="276" w:lineRule="auto"/>
        <w:jc w:val="left"/>
        <w:rPr>
          <w:rStyle w:val="Titre1Car"/>
        </w:rPr>
      </w:pPr>
    </w:p>
    <w:p w:rsidR="00B265B1" w:rsidRDefault="00C51ADC">
      <w:pPr>
        <w:autoSpaceDE/>
        <w:autoSpaceDN/>
        <w:adjustRightInd/>
        <w:spacing w:after="200" w:line="276" w:lineRule="auto"/>
        <w:jc w:val="left"/>
        <w:rPr>
          <w:rStyle w:val="Titre1Car"/>
        </w:rPr>
      </w:pPr>
      <w:r w:rsidRPr="00C51ADC">
        <w:rPr>
          <w:rStyle w:val="Titre1Car"/>
        </w:rPr>
        <w:br w:type="page"/>
      </w:r>
      <w:bookmarkStart w:id="2" w:name="_Toc413941200"/>
      <w:r w:rsidRPr="00C51ADC">
        <w:rPr>
          <w:rStyle w:val="Titre1Car"/>
        </w:rPr>
        <w:t>Liste des tableaux</w:t>
      </w:r>
      <w:bookmarkEnd w:id="2"/>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r w:rsidRPr="00994060">
        <w:rPr>
          <w:sz w:val="22"/>
          <w:szCs w:val="22"/>
        </w:rPr>
        <w:fldChar w:fldCharType="begin"/>
      </w:r>
      <w:r w:rsidR="00C71512" w:rsidRPr="00994060">
        <w:rPr>
          <w:sz w:val="22"/>
          <w:szCs w:val="22"/>
        </w:rPr>
        <w:instrText xml:space="preserve"> TOC \h \z \c "Tableau" </w:instrText>
      </w:r>
      <w:r w:rsidRPr="00994060">
        <w:rPr>
          <w:sz w:val="22"/>
          <w:szCs w:val="22"/>
        </w:rPr>
        <w:fldChar w:fldCharType="separate"/>
      </w:r>
      <w:hyperlink w:anchor="_Toc483991262" w:history="1">
        <w:r w:rsidR="009721AB" w:rsidRPr="007F0809">
          <w:rPr>
            <w:rStyle w:val="Lienhypertexte"/>
            <w:noProof/>
          </w:rPr>
          <w:t>Tableau 1.3.1 : Evolution des indicateurs de couverture</w:t>
        </w:r>
        <w:r w:rsidR="009721AB">
          <w:rPr>
            <w:noProof/>
            <w:webHidden/>
          </w:rPr>
          <w:tab/>
        </w:r>
        <w:r>
          <w:rPr>
            <w:noProof/>
            <w:webHidden/>
          </w:rPr>
          <w:fldChar w:fldCharType="begin"/>
        </w:r>
        <w:r w:rsidR="009721AB">
          <w:rPr>
            <w:noProof/>
            <w:webHidden/>
          </w:rPr>
          <w:instrText xml:space="preserve"> PAGEREF _Toc483991262 \h </w:instrText>
        </w:r>
        <w:r>
          <w:rPr>
            <w:noProof/>
            <w:webHidden/>
          </w:rPr>
        </w:r>
        <w:r>
          <w:rPr>
            <w:noProof/>
            <w:webHidden/>
          </w:rPr>
          <w:fldChar w:fldCharType="separate"/>
        </w:r>
        <w:r w:rsidR="009721AB">
          <w:rPr>
            <w:noProof/>
            <w:webHidden/>
          </w:rPr>
          <w:t>19</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63" w:history="1">
        <w:r w:rsidR="009721AB" w:rsidRPr="007F0809">
          <w:rPr>
            <w:rStyle w:val="Lienhypertexte"/>
            <w:noProof/>
          </w:rPr>
          <w:t>Tableau 3.1.1</w:t>
        </w:r>
        <w:r w:rsidR="009721AB" w:rsidRPr="007F0809">
          <w:rPr>
            <w:rStyle w:val="Lienhypertexte"/>
            <w:noProof/>
            <w:lang w:eastAsia="en-US"/>
          </w:rPr>
          <w:t>: Récapitulatif de la dépense totale de santé en 2014</w:t>
        </w:r>
        <w:r w:rsidR="009721AB">
          <w:rPr>
            <w:noProof/>
            <w:webHidden/>
          </w:rPr>
          <w:tab/>
        </w:r>
        <w:r>
          <w:rPr>
            <w:noProof/>
            <w:webHidden/>
          </w:rPr>
          <w:fldChar w:fldCharType="begin"/>
        </w:r>
        <w:r w:rsidR="009721AB">
          <w:rPr>
            <w:noProof/>
            <w:webHidden/>
          </w:rPr>
          <w:instrText xml:space="preserve"> PAGEREF _Toc483991263 \h </w:instrText>
        </w:r>
        <w:r>
          <w:rPr>
            <w:noProof/>
            <w:webHidden/>
          </w:rPr>
        </w:r>
        <w:r>
          <w:rPr>
            <w:noProof/>
            <w:webHidden/>
          </w:rPr>
          <w:fldChar w:fldCharType="separate"/>
        </w:r>
        <w:r w:rsidR="009721AB">
          <w:rPr>
            <w:noProof/>
            <w:webHidden/>
          </w:rPr>
          <w:t>29</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64" w:history="1">
        <w:r w:rsidR="009721AB" w:rsidRPr="007F0809">
          <w:rPr>
            <w:rStyle w:val="Lienhypertexte"/>
            <w:noProof/>
          </w:rPr>
          <w:t>Tableau 3.1.2</w:t>
        </w:r>
        <w:r w:rsidR="009721AB" w:rsidRPr="007F0809">
          <w:rPr>
            <w:rStyle w:val="Lienhypertexte"/>
            <w:noProof/>
            <w:lang w:eastAsia="en-US"/>
          </w:rPr>
          <w:t>: Récapitulatif des dépenses des régimes de financement en 2014</w:t>
        </w:r>
        <w:r w:rsidR="009721AB">
          <w:rPr>
            <w:noProof/>
            <w:webHidden/>
          </w:rPr>
          <w:tab/>
        </w:r>
        <w:r>
          <w:rPr>
            <w:noProof/>
            <w:webHidden/>
          </w:rPr>
          <w:fldChar w:fldCharType="begin"/>
        </w:r>
        <w:r w:rsidR="009721AB">
          <w:rPr>
            <w:noProof/>
            <w:webHidden/>
          </w:rPr>
          <w:instrText xml:space="preserve"> PAGEREF _Toc483991264 \h </w:instrText>
        </w:r>
        <w:r>
          <w:rPr>
            <w:noProof/>
            <w:webHidden/>
          </w:rPr>
        </w:r>
        <w:r>
          <w:rPr>
            <w:noProof/>
            <w:webHidden/>
          </w:rPr>
          <w:fldChar w:fldCharType="separate"/>
        </w:r>
        <w:r w:rsidR="009721AB">
          <w:rPr>
            <w:noProof/>
            <w:webHidden/>
          </w:rPr>
          <w:t>30</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65" w:history="1">
        <w:r w:rsidR="009721AB" w:rsidRPr="007F0809">
          <w:rPr>
            <w:rStyle w:val="Lienhypertexte"/>
            <w:noProof/>
          </w:rPr>
          <w:t>Tableau 3.1.5</w:t>
        </w:r>
        <w:r w:rsidR="009721AB" w:rsidRPr="007F0809">
          <w:rPr>
            <w:rStyle w:val="Lienhypertexte"/>
            <w:b/>
            <w:noProof/>
            <w:lang w:eastAsia="en-US"/>
          </w:rPr>
          <w:t>:</w:t>
        </w:r>
        <w:r w:rsidR="009721AB" w:rsidRPr="007F0809">
          <w:rPr>
            <w:rStyle w:val="Lienhypertexte"/>
            <w:noProof/>
            <w:lang w:eastAsia="en-US"/>
          </w:rPr>
          <w:t xml:space="preserve"> Répartition des dépenses courante de santé par prestataire (en million de francs CFA)</w:t>
        </w:r>
        <w:r w:rsidR="009721AB">
          <w:rPr>
            <w:noProof/>
            <w:webHidden/>
          </w:rPr>
          <w:tab/>
        </w:r>
        <w:r>
          <w:rPr>
            <w:noProof/>
            <w:webHidden/>
          </w:rPr>
          <w:fldChar w:fldCharType="begin"/>
        </w:r>
        <w:r w:rsidR="009721AB">
          <w:rPr>
            <w:noProof/>
            <w:webHidden/>
          </w:rPr>
          <w:instrText xml:space="preserve"> PAGEREF _Toc483991265 \h </w:instrText>
        </w:r>
        <w:r>
          <w:rPr>
            <w:noProof/>
            <w:webHidden/>
          </w:rPr>
        </w:r>
        <w:r>
          <w:rPr>
            <w:noProof/>
            <w:webHidden/>
          </w:rPr>
          <w:fldChar w:fldCharType="separate"/>
        </w:r>
        <w:r w:rsidR="009721AB">
          <w:rPr>
            <w:noProof/>
            <w:webHidden/>
          </w:rPr>
          <w:t>36</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66" w:history="1">
        <w:r w:rsidR="009721AB" w:rsidRPr="007F0809">
          <w:rPr>
            <w:rStyle w:val="Lienhypertexte"/>
            <w:noProof/>
          </w:rPr>
          <w:t>Tableau 3.1.6</w:t>
        </w:r>
        <w:r w:rsidR="009721AB" w:rsidRPr="007F0809">
          <w:rPr>
            <w:rStyle w:val="Lienhypertexte"/>
            <w:noProof/>
            <w:lang w:eastAsia="en-US"/>
          </w:rPr>
          <w:t> : Répartition des dépenses par facteur de prestation</w:t>
        </w:r>
        <w:r w:rsidR="009721AB">
          <w:rPr>
            <w:noProof/>
            <w:webHidden/>
          </w:rPr>
          <w:tab/>
        </w:r>
        <w:r>
          <w:rPr>
            <w:noProof/>
            <w:webHidden/>
          </w:rPr>
          <w:fldChar w:fldCharType="begin"/>
        </w:r>
        <w:r w:rsidR="009721AB">
          <w:rPr>
            <w:noProof/>
            <w:webHidden/>
          </w:rPr>
          <w:instrText xml:space="preserve"> PAGEREF _Toc483991266 \h </w:instrText>
        </w:r>
        <w:r>
          <w:rPr>
            <w:noProof/>
            <w:webHidden/>
          </w:rPr>
        </w:r>
        <w:r>
          <w:rPr>
            <w:noProof/>
            <w:webHidden/>
          </w:rPr>
          <w:fldChar w:fldCharType="separate"/>
        </w:r>
        <w:r w:rsidR="009721AB">
          <w:rPr>
            <w:noProof/>
            <w:webHidden/>
          </w:rPr>
          <w:t>38</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67" w:history="1">
        <w:r w:rsidR="009721AB" w:rsidRPr="007F0809">
          <w:rPr>
            <w:rStyle w:val="Lienhypertexte"/>
            <w:noProof/>
          </w:rPr>
          <w:t xml:space="preserve">Tableau 3.1.8 : </w:t>
        </w:r>
        <w:r w:rsidR="009721AB" w:rsidRPr="007F0809">
          <w:rPr>
            <w:rStyle w:val="Lienhypertexte"/>
            <w:noProof/>
            <w:lang w:eastAsia="en-US"/>
          </w:rPr>
          <w:t>Répartition des dépenses de santé par tranche d’âge</w:t>
        </w:r>
        <w:r w:rsidR="009721AB">
          <w:rPr>
            <w:noProof/>
            <w:webHidden/>
          </w:rPr>
          <w:tab/>
        </w:r>
        <w:r>
          <w:rPr>
            <w:noProof/>
            <w:webHidden/>
          </w:rPr>
          <w:fldChar w:fldCharType="begin"/>
        </w:r>
        <w:r w:rsidR="009721AB">
          <w:rPr>
            <w:noProof/>
            <w:webHidden/>
          </w:rPr>
          <w:instrText xml:space="preserve"> PAGEREF _Toc483991267 \h </w:instrText>
        </w:r>
        <w:r>
          <w:rPr>
            <w:noProof/>
            <w:webHidden/>
          </w:rPr>
        </w:r>
        <w:r>
          <w:rPr>
            <w:noProof/>
            <w:webHidden/>
          </w:rPr>
          <w:fldChar w:fldCharType="separate"/>
        </w:r>
        <w:r w:rsidR="009721AB">
          <w:rPr>
            <w:noProof/>
            <w:webHidden/>
          </w:rPr>
          <w:t>42</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68" w:history="1">
        <w:r w:rsidR="009721AB" w:rsidRPr="007F0809">
          <w:rPr>
            <w:rStyle w:val="Lienhypertexte"/>
            <w:noProof/>
          </w:rPr>
          <w:t>Tableau 3.2.1</w:t>
        </w:r>
        <w:r w:rsidR="009721AB" w:rsidRPr="007F0809">
          <w:rPr>
            <w:rStyle w:val="Lienhypertexte"/>
            <w:b/>
            <w:noProof/>
          </w:rPr>
          <w:t> :</w:t>
        </w:r>
        <w:r w:rsidR="009721AB" w:rsidRPr="007F0809">
          <w:rPr>
            <w:rStyle w:val="Lienhypertexte"/>
            <w:noProof/>
          </w:rPr>
          <w:t xml:space="preserve"> Evolution du budget d’Etat alloué à la fonction santé et au Ministère de la Santé</w:t>
        </w:r>
        <w:r w:rsidR="009721AB">
          <w:rPr>
            <w:noProof/>
            <w:webHidden/>
          </w:rPr>
          <w:tab/>
        </w:r>
        <w:r>
          <w:rPr>
            <w:noProof/>
            <w:webHidden/>
          </w:rPr>
          <w:fldChar w:fldCharType="begin"/>
        </w:r>
        <w:r w:rsidR="009721AB">
          <w:rPr>
            <w:noProof/>
            <w:webHidden/>
          </w:rPr>
          <w:instrText xml:space="preserve"> PAGEREF _Toc483991268 \h </w:instrText>
        </w:r>
        <w:r>
          <w:rPr>
            <w:noProof/>
            <w:webHidden/>
          </w:rPr>
        </w:r>
        <w:r>
          <w:rPr>
            <w:noProof/>
            <w:webHidden/>
          </w:rPr>
          <w:fldChar w:fldCharType="separate"/>
        </w:r>
        <w:r w:rsidR="009721AB">
          <w:rPr>
            <w:noProof/>
            <w:webHidden/>
          </w:rPr>
          <w:t>44</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69" w:history="1">
        <w:r w:rsidR="009721AB" w:rsidRPr="007F0809">
          <w:rPr>
            <w:rStyle w:val="Lienhypertexte"/>
            <w:noProof/>
          </w:rPr>
          <w:t>Tableau 3.2.2</w:t>
        </w:r>
        <w:r w:rsidR="009721AB" w:rsidRPr="007F0809">
          <w:rPr>
            <w:rStyle w:val="Lienhypertexte"/>
            <w:noProof/>
            <w:lang w:eastAsia="fr-FR"/>
          </w:rPr>
          <w:t>: Exécution du budget du Ministère de la Santé et de l’Hygiène Publique au titre de l’année 2014</w:t>
        </w:r>
        <w:r w:rsidR="009721AB">
          <w:rPr>
            <w:noProof/>
            <w:webHidden/>
          </w:rPr>
          <w:tab/>
        </w:r>
        <w:r>
          <w:rPr>
            <w:noProof/>
            <w:webHidden/>
          </w:rPr>
          <w:fldChar w:fldCharType="begin"/>
        </w:r>
        <w:r w:rsidR="009721AB">
          <w:rPr>
            <w:noProof/>
            <w:webHidden/>
          </w:rPr>
          <w:instrText xml:space="preserve"> PAGEREF _Toc483991269 \h </w:instrText>
        </w:r>
        <w:r>
          <w:rPr>
            <w:noProof/>
            <w:webHidden/>
          </w:rPr>
        </w:r>
        <w:r>
          <w:rPr>
            <w:noProof/>
            <w:webHidden/>
          </w:rPr>
          <w:fldChar w:fldCharType="separate"/>
        </w:r>
        <w:r w:rsidR="009721AB">
          <w:rPr>
            <w:noProof/>
            <w:webHidden/>
          </w:rPr>
          <w:t>44</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70" w:history="1">
        <w:r w:rsidR="009721AB" w:rsidRPr="007F0809">
          <w:rPr>
            <w:rStyle w:val="Lienhypertexte"/>
            <w:noProof/>
          </w:rPr>
          <w:t>Tableau 3.3.1 : Indicateurs de comparaison internationale de l’UEMOA</w:t>
        </w:r>
        <w:r w:rsidR="009721AB">
          <w:rPr>
            <w:noProof/>
            <w:webHidden/>
          </w:rPr>
          <w:tab/>
        </w:r>
        <w:r>
          <w:rPr>
            <w:noProof/>
            <w:webHidden/>
          </w:rPr>
          <w:fldChar w:fldCharType="begin"/>
        </w:r>
        <w:r w:rsidR="009721AB">
          <w:rPr>
            <w:noProof/>
            <w:webHidden/>
          </w:rPr>
          <w:instrText xml:space="preserve"> PAGEREF _Toc483991270 \h </w:instrText>
        </w:r>
        <w:r>
          <w:rPr>
            <w:noProof/>
            <w:webHidden/>
          </w:rPr>
        </w:r>
        <w:r>
          <w:rPr>
            <w:noProof/>
            <w:webHidden/>
          </w:rPr>
          <w:fldChar w:fldCharType="separate"/>
        </w:r>
        <w:r w:rsidR="009721AB">
          <w:rPr>
            <w:noProof/>
            <w:webHidden/>
          </w:rPr>
          <w:t>46</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71" w:history="1">
        <w:r w:rsidR="009721AB" w:rsidRPr="007F0809">
          <w:rPr>
            <w:rStyle w:val="Lienhypertexte"/>
            <w:noProof/>
          </w:rPr>
          <w:t>Tableau 3.4.1</w:t>
        </w:r>
        <w:r w:rsidR="009721AB" w:rsidRPr="007F0809">
          <w:rPr>
            <w:rStyle w:val="Lienhypertexte"/>
            <w:noProof/>
            <w:lang w:eastAsia="fr-FR"/>
          </w:rPr>
          <w:t> : Répartition des dépenses de formation brute de capital par rubrique d’investissement</w:t>
        </w:r>
        <w:r w:rsidR="009721AB">
          <w:rPr>
            <w:noProof/>
            <w:webHidden/>
          </w:rPr>
          <w:tab/>
        </w:r>
        <w:r>
          <w:rPr>
            <w:noProof/>
            <w:webHidden/>
          </w:rPr>
          <w:fldChar w:fldCharType="begin"/>
        </w:r>
        <w:r w:rsidR="009721AB">
          <w:rPr>
            <w:noProof/>
            <w:webHidden/>
          </w:rPr>
          <w:instrText xml:space="preserve"> PAGEREF _Toc483991271 \h </w:instrText>
        </w:r>
        <w:r>
          <w:rPr>
            <w:noProof/>
            <w:webHidden/>
          </w:rPr>
        </w:r>
        <w:r>
          <w:rPr>
            <w:noProof/>
            <w:webHidden/>
          </w:rPr>
          <w:fldChar w:fldCharType="separate"/>
        </w:r>
        <w:r w:rsidR="009721AB">
          <w:rPr>
            <w:noProof/>
            <w:webHidden/>
          </w:rPr>
          <w:t>47</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72" w:history="1">
        <w:r w:rsidR="009721AB" w:rsidRPr="007F0809">
          <w:rPr>
            <w:rStyle w:val="Lienhypertexte"/>
            <w:noProof/>
          </w:rPr>
          <w:t>Tableau 3.4.2: Répartition des dépenses de santé selon les maladies/affections en million de FCFA</w:t>
        </w:r>
        <w:r w:rsidR="009721AB">
          <w:rPr>
            <w:noProof/>
            <w:webHidden/>
          </w:rPr>
          <w:tab/>
        </w:r>
        <w:r>
          <w:rPr>
            <w:noProof/>
            <w:webHidden/>
          </w:rPr>
          <w:fldChar w:fldCharType="begin"/>
        </w:r>
        <w:r w:rsidR="009721AB">
          <w:rPr>
            <w:noProof/>
            <w:webHidden/>
          </w:rPr>
          <w:instrText xml:space="preserve"> PAGEREF _Toc483991272 \h </w:instrText>
        </w:r>
        <w:r>
          <w:rPr>
            <w:noProof/>
            <w:webHidden/>
          </w:rPr>
        </w:r>
        <w:r>
          <w:rPr>
            <w:noProof/>
            <w:webHidden/>
          </w:rPr>
          <w:fldChar w:fldCharType="separate"/>
        </w:r>
        <w:r w:rsidR="009721AB">
          <w:rPr>
            <w:noProof/>
            <w:webHidden/>
          </w:rPr>
          <w:t>49</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73" w:history="1">
        <w:r w:rsidR="009721AB" w:rsidRPr="007F0809">
          <w:rPr>
            <w:rStyle w:val="Lienhypertexte"/>
            <w:noProof/>
          </w:rPr>
          <w:t>Tableau 4.2.1</w:t>
        </w:r>
        <w:r w:rsidR="009721AB" w:rsidRPr="007F0809">
          <w:rPr>
            <w:rStyle w:val="Lienhypertexte"/>
            <w:b/>
            <w:noProof/>
            <w:lang w:eastAsia="fr-FR"/>
          </w:rPr>
          <w:t> :</w:t>
        </w:r>
        <w:r w:rsidR="009721AB" w:rsidRPr="007F0809">
          <w:rPr>
            <w:rStyle w:val="Lienhypertexte"/>
            <w:noProof/>
            <w:lang w:eastAsia="fr-FR"/>
          </w:rPr>
          <w:t xml:space="preserve"> Répartition des dépenses de santé par recettes des régimes de financement</w:t>
        </w:r>
        <w:r w:rsidR="009721AB">
          <w:rPr>
            <w:noProof/>
            <w:webHidden/>
          </w:rPr>
          <w:tab/>
        </w:r>
        <w:r>
          <w:rPr>
            <w:noProof/>
            <w:webHidden/>
          </w:rPr>
          <w:fldChar w:fldCharType="begin"/>
        </w:r>
        <w:r w:rsidR="009721AB">
          <w:rPr>
            <w:noProof/>
            <w:webHidden/>
          </w:rPr>
          <w:instrText xml:space="preserve"> PAGEREF _Toc483991273 \h </w:instrText>
        </w:r>
        <w:r>
          <w:rPr>
            <w:noProof/>
            <w:webHidden/>
          </w:rPr>
        </w:r>
        <w:r>
          <w:rPr>
            <w:noProof/>
            <w:webHidden/>
          </w:rPr>
          <w:fldChar w:fldCharType="separate"/>
        </w:r>
        <w:r w:rsidR="009721AB">
          <w:rPr>
            <w:noProof/>
            <w:webHidden/>
          </w:rPr>
          <w:t>51</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74" w:history="1">
        <w:r w:rsidR="009721AB" w:rsidRPr="007F0809">
          <w:rPr>
            <w:rStyle w:val="Lienhypertexte"/>
            <w:noProof/>
          </w:rPr>
          <w:t>Tableau 4.3.1</w:t>
        </w:r>
        <w:r w:rsidR="009721AB" w:rsidRPr="007F0809">
          <w:rPr>
            <w:rStyle w:val="Lienhypertexte"/>
            <w:b/>
            <w:noProof/>
            <w:lang w:eastAsia="fr-FR"/>
          </w:rPr>
          <w:t> :</w:t>
        </w:r>
        <w:r w:rsidR="009721AB" w:rsidRPr="007F0809">
          <w:rPr>
            <w:rStyle w:val="Lienhypertexte"/>
            <w:noProof/>
            <w:lang w:eastAsia="fr-FR"/>
          </w:rPr>
          <w:t xml:space="preserve"> Répartition des dépenses de paludisme par unité institutionnelle fournissant les fonds.</w:t>
        </w:r>
        <w:r w:rsidR="009721AB">
          <w:rPr>
            <w:noProof/>
            <w:webHidden/>
          </w:rPr>
          <w:tab/>
        </w:r>
        <w:r>
          <w:rPr>
            <w:noProof/>
            <w:webHidden/>
          </w:rPr>
          <w:fldChar w:fldCharType="begin"/>
        </w:r>
        <w:r w:rsidR="009721AB">
          <w:rPr>
            <w:noProof/>
            <w:webHidden/>
          </w:rPr>
          <w:instrText xml:space="preserve"> PAGEREF _Toc483991274 \h </w:instrText>
        </w:r>
        <w:r>
          <w:rPr>
            <w:noProof/>
            <w:webHidden/>
          </w:rPr>
        </w:r>
        <w:r>
          <w:rPr>
            <w:noProof/>
            <w:webHidden/>
          </w:rPr>
          <w:fldChar w:fldCharType="separate"/>
        </w:r>
        <w:r w:rsidR="009721AB">
          <w:rPr>
            <w:noProof/>
            <w:webHidden/>
          </w:rPr>
          <w:t>52</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75" w:history="1">
        <w:r w:rsidR="009721AB" w:rsidRPr="007F0809">
          <w:rPr>
            <w:rStyle w:val="Lienhypertexte"/>
            <w:noProof/>
          </w:rPr>
          <w:t>Tableau 4.6.1</w:t>
        </w:r>
        <w:r w:rsidR="009721AB" w:rsidRPr="007F0809">
          <w:rPr>
            <w:rStyle w:val="Lienhypertexte"/>
            <w:noProof/>
            <w:lang w:eastAsia="fr-FR"/>
          </w:rPr>
          <w:t> : Répartition des dépenses de santé du paludisme par type de soins</w:t>
        </w:r>
        <w:r w:rsidR="009721AB">
          <w:rPr>
            <w:noProof/>
            <w:webHidden/>
          </w:rPr>
          <w:tab/>
        </w:r>
        <w:r>
          <w:rPr>
            <w:noProof/>
            <w:webHidden/>
          </w:rPr>
          <w:fldChar w:fldCharType="begin"/>
        </w:r>
        <w:r w:rsidR="009721AB">
          <w:rPr>
            <w:noProof/>
            <w:webHidden/>
          </w:rPr>
          <w:instrText xml:space="preserve"> PAGEREF _Toc483991275 \h </w:instrText>
        </w:r>
        <w:r>
          <w:rPr>
            <w:noProof/>
            <w:webHidden/>
          </w:rPr>
        </w:r>
        <w:r>
          <w:rPr>
            <w:noProof/>
            <w:webHidden/>
          </w:rPr>
          <w:fldChar w:fldCharType="separate"/>
        </w:r>
        <w:r w:rsidR="009721AB">
          <w:rPr>
            <w:noProof/>
            <w:webHidden/>
          </w:rPr>
          <w:t>56</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76" w:history="1">
        <w:r w:rsidR="009721AB" w:rsidRPr="007F0809">
          <w:rPr>
            <w:rStyle w:val="Lienhypertexte"/>
            <w:noProof/>
          </w:rPr>
          <w:t>Tableau 4.7.1</w:t>
        </w:r>
        <w:r w:rsidR="009721AB" w:rsidRPr="007F0809">
          <w:rPr>
            <w:rStyle w:val="Lienhypertexte"/>
            <w:noProof/>
            <w:lang w:eastAsia="fr-FR"/>
          </w:rPr>
          <w:t>: Répartition des dépenses du paludisme par facteur de prestation (en million de FCFA)</w:t>
        </w:r>
        <w:r w:rsidR="009721AB">
          <w:rPr>
            <w:noProof/>
            <w:webHidden/>
          </w:rPr>
          <w:tab/>
        </w:r>
        <w:r>
          <w:rPr>
            <w:noProof/>
            <w:webHidden/>
          </w:rPr>
          <w:fldChar w:fldCharType="begin"/>
        </w:r>
        <w:r w:rsidR="009721AB">
          <w:rPr>
            <w:noProof/>
            <w:webHidden/>
          </w:rPr>
          <w:instrText xml:space="preserve"> PAGEREF _Toc483991276 \h </w:instrText>
        </w:r>
        <w:r>
          <w:rPr>
            <w:noProof/>
            <w:webHidden/>
          </w:rPr>
        </w:r>
        <w:r>
          <w:rPr>
            <w:noProof/>
            <w:webHidden/>
          </w:rPr>
          <w:fldChar w:fldCharType="separate"/>
        </w:r>
        <w:r w:rsidR="009721AB">
          <w:rPr>
            <w:noProof/>
            <w:webHidden/>
          </w:rPr>
          <w:t>57</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77" w:history="1">
        <w:r w:rsidR="009721AB" w:rsidRPr="007F0809">
          <w:rPr>
            <w:rStyle w:val="Lienhypertexte"/>
            <w:noProof/>
          </w:rPr>
          <w:t>Tableau 5.2.3: Dépenses des agents de financement de la santé pour la tuberculose</w:t>
        </w:r>
        <w:r w:rsidR="009721AB">
          <w:rPr>
            <w:noProof/>
            <w:webHidden/>
          </w:rPr>
          <w:tab/>
        </w:r>
        <w:r>
          <w:rPr>
            <w:noProof/>
            <w:webHidden/>
          </w:rPr>
          <w:fldChar w:fldCharType="begin"/>
        </w:r>
        <w:r w:rsidR="009721AB">
          <w:rPr>
            <w:noProof/>
            <w:webHidden/>
          </w:rPr>
          <w:instrText xml:space="preserve"> PAGEREF _Toc483991277 \h </w:instrText>
        </w:r>
        <w:r>
          <w:rPr>
            <w:noProof/>
            <w:webHidden/>
          </w:rPr>
        </w:r>
        <w:r>
          <w:rPr>
            <w:noProof/>
            <w:webHidden/>
          </w:rPr>
          <w:fldChar w:fldCharType="separate"/>
        </w:r>
        <w:r w:rsidR="009721AB">
          <w:rPr>
            <w:noProof/>
            <w:webHidden/>
          </w:rPr>
          <w:t>63</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78" w:history="1">
        <w:r w:rsidR="009721AB" w:rsidRPr="007F0809">
          <w:rPr>
            <w:rStyle w:val="Lienhypertexte"/>
            <w:noProof/>
          </w:rPr>
          <w:t>Tableau 5.2.4: Dépenses par prestataires de soins de santé pour la tuberculose</w:t>
        </w:r>
        <w:r w:rsidR="009721AB">
          <w:rPr>
            <w:noProof/>
            <w:webHidden/>
          </w:rPr>
          <w:tab/>
        </w:r>
        <w:r>
          <w:rPr>
            <w:noProof/>
            <w:webHidden/>
          </w:rPr>
          <w:fldChar w:fldCharType="begin"/>
        </w:r>
        <w:r w:rsidR="009721AB">
          <w:rPr>
            <w:noProof/>
            <w:webHidden/>
          </w:rPr>
          <w:instrText xml:space="preserve"> PAGEREF _Toc483991278 \h </w:instrText>
        </w:r>
        <w:r>
          <w:rPr>
            <w:noProof/>
            <w:webHidden/>
          </w:rPr>
        </w:r>
        <w:r>
          <w:rPr>
            <w:noProof/>
            <w:webHidden/>
          </w:rPr>
          <w:fldChar w:fldCharType="separate"/>
        </w:r>
        <w:r w:rsidR="009721AB">
          <w:rPr>
            <w:noProof/>
            <w:webHidden/>
          </w:rPr>
          <w:t>64</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79" w:history="1">
        <w:r w:rsidR="009721AB" w:rsidRPr="007F0809">
          <w:rPr>
            <w:rStyle w:val="Lienhypertexte"/>
            <w:noProof/>
          </w:rPr>
          <w:t>Tableau 5.2.5</w:t>
        </w:r>
        <w:r w:rsidR="009721AB" w:rsidRPr="007F0809">
          <w:rPr>
            <w:rStyle w:val="Lienhypertexte"/>
            <w:b/>
            <w:noProof/>
          </w:rPr>
          <w:t>:</w:t>
        </w:r>
        <w:r w:rsidR="009721AB" w:rsidRPr="007F0809">
          <w:rPr>
            <w:rStyle w:val="Lienhypertexte"/>
            <w:noProof/>
          </w:rPr>
          <w:t xml:space="preserve"> Dépenses de la lutte contre la tuberculose par fonction.(en million de francs CFA)</w:t>
        </w:r>
        <w:r w:rsidR="009721AB">
          <w:rPr>
            <w:noProof/>
            <w:webHidden/>
          </w:rPr>
          <w:tab/>
        </w:r>
        <w:r>
          <w:rPr>
            <w:noProof/>
            <w:webHidden/>
          </w:rPr>
          <w:fldChar w:fldCharType="begin"/>
        </w:r>
        <w:r w:rsidR="009721AB">
          <w:rPr>
            <w:noProof/>
            <w:webHidden/>
          </w:rPr>
          <w:instrText xml:space="preserve"> PAGEREF _Toc483991279 \h </w:instrText>
        </w:r>
        <w:r>
          <w:rPr>
            <w:noProof/>
            <w:webHidden/>
          </w:rPr>
        </w:r>
        <w:r>
          <w:rPr>
            <w:noProof/>
            <w:webHidden/>
          </w:rPr>
          <w:fldChar w:fldCharType="separate"/>
        </w:r>
        <w:r w:rsidR="009721AB">
          <w:rPr>
            <w:noProof/>
            <w:webHidden/>
          </w:rPr>
          <w:t>66</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80" w:history="1">
        <w:r w:rsidR="009721AB" w:rsidRPr="007F0809">
          <w:rPr>
            <w:rStyle w:val="Lienhypertexte"/>
            <w:noProof/>
          </w:rPr>
          <w:t>Tableau 6.2.1</w:t>
        </w:r>
        <w:r w:rsidR="009721AB" w:rsidRPr="007F0809">
          <w:rPr>
            <w:rStyle w:val="Lienhypertexte"/>
            <w:noProof/>
            <w:lang w:eastAsia="en-US"/>
          </w:rPr>
          <w:t>: Dépenses par recette des régimes de financement de la santé pour le VIH et le SIDA</w:t>
        </w:r>
        <w:r w:rsidR="009721AB" w:rsidRPr="007F0809">
          <w:rPr>
            <w:rStyle w:val="Lienhypertexte"/>
            <w:rFonts w:eastAsia="Times New Roman"/>
            <w:noProof/>
            <w:lang w:eastAsia="fr-FR"/>
          </w:rPr>
          <w:t>(en million de francs CFA)</w:t>
        </w:r>
        <w:r w:rsidR="009721AB">
          <w:rPr>
            <w:noProof/>
            <w:webHidden/>
          </w:rPr>
          <w:tab/>
        </w:r>
        <w:r>
          <w:rPr>
            <w:noProof/>
            <w:webHidden/>
          </w:rPr>
          <w:fldChar w:fldCharType="begin"/>
        </w:r>
        <w:r w:rsidR="009721AB">
          <w:rPr>
            <w:noProof/>
            <w:webHidden/>
          </w:rPr>
          <w:instrText xml:space="preserve"> PAGEREF _Toc483991280 \h </w:instrText>
        </w:r>
        <w:r>
          <w:rPr>
            <w:noProof/>
            <w:webHidden/>
          </w:rPr>
        </w:r>
        <w:r>
          <w:rPr>
            <w:noProof/>
            <w:webHidden/>
          </w:rPr>
          <w:fldChar w:fldCharType="separate"/>
        </w:r>
        <w:r w:rsidR="009721AB">
          <w:rPr>
            <w:noProof/>
            <w:webHidden/>
          </w:rPr>
          <w:t>68</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81" w:history="1">
        <w:r w:rsidR="009721AB" w:rsidRPr="007F0809">
          <w:rPr>
            <w:rStyle w:val="Lienhypertexte"/>
            <w:noProof/>
          </w:rPr>
          <w:t>Tableau 6.2.2</w:t>
        </w:r>
        <w:r w:rsidR="009721AB" w:rsidRPr="007F0809">
          <w:rPr>
            <w:rStyle w:val="Lienhypertexte"/>
            <w:noProof/>
            <w:lang w:eastAsia="en-US"/>
          </w:rPr>
          <w:t>: Dépenses par régime de financement de la santé pour le VIH et du SIDA en million de FCFA</w:t>
        </w:r>
        <w:r w:rsidR="009721AB">
          <w:rPr>
            <w:noProof/>
            <w:webHidden/>
          </w:rPr>
          <w:tab/>
        </w:r>
        <w:r>
          <w:rPr>
            <w:noProof/>
            <w:webHidden/>
          </w:rPr>
          <w:fldChar w:fldCharType="begin"/>
        </w:r>
        <w:r w:rsidR="009721AB">
          <w:rPr>
            <w:noProof/>
            <w:webHidden/>
          </w:rPr>
          <w:instrText xml:space="preserve"> PAGEREF _Toc483991281 \h </w:instrText>
        </w:r>
        <w:r>
          <w:rPr>
            <w:noProof/>
            <w:webHidden/>
          </w:rPr>
        </w:r>
        <w:r>
          <w:rPr>
            <w:noProof/>
            <w:webHidden/>
          </w:rPr>
          <w:fldChar w:fldCharType="separate"/>
        </w:r>
        <w:r w:rsidR="009721AB">
          <w:rPr>
            <w:noProof/>
            <w:webHidden/>
          </w:rPr>
          <w:t>69</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82" w:history="1">
        <w:r w:rsidR="009721AB" w:rsidRPr="007F0809">
          <w:rPr>
            <w:rStyle w:val="Lienhypertexte"/>
            <w:i/>
            <w:noProof/>
          </w:rPr>
          <w:t>Tableau 6.2.3</w:t>
        </w:r>
        <w:r w:rsidR="009721AB" w:rsidRPr="007F0809">
          <w:rPr>
            <w:rStyle w:val="Lienhypertexte"/>
            <w:i/>
            <w:noProof/>
            <w:lang w:eastAsia="en-US"/>
          </w:rPr>
          <w:t>: Dépenses par agents de financement de la santé pour le VIH et le SIDA (en million de francs CFA)</w:t>
        </w:r>
        <w:r w:rsidR="009721AB">
          <w:rPr>
            <w:noProof/>
            <w:webHidden/>
          </w:rPr>
          <w:tab/>
        </w:r>
        <w:r>
          <w:rPr>
            <w:noProof/>
            <w:webHidden/>
          </w:rPr>
          <w:fldChar w:fldCharType="begin"/>
        </w:r>
        <w:r w:rsidR="009721AB">
          <w:rPr>
            <w:noProof/>
            <w:webHidden/>
          </w:rPr>
          <w:instrText xml:space="preserve"> PAGEREF _Toc483991282 \h </w:instrText>
        </w:r>
        <w:r>
          <w:rPr>
            <w:noProof/>
            <w:webHidden/>
          </w:rPr>
        </w:r>
        <w:r>
          <w:rPr>
            <w:noProof/>
            <w:webHidden/>
          </w:rPr>
          <w:fldChar w:fldCharType="separate"/>
        </w:r>
        <w:r w:rsidR="009721AB">
          <w:rPr>
            <w:noProof/>
            <w:webHidden/>
          </w:rPr>
          <w:t>69</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83" w:history="1">
        <w:r w:rsidR="009721AB" w:rsidRPr="007F0809">
          <w:rPr>
            <w:rStyle w:val="Lienhypertexte"/>
            <w:noProof/>
          </w:rPr>
          <w:t>Tableau 6.2.4</w:t>
        </w:r>
        <w:r w:rsidR="009721AB" w:rsidRPr="007F0809">
          <w:rPr>
            <w:rStyle w:val="Lienhypertexte"/>
            <w:noProof/>
            <w:lang w:eastAsia="en-US"/>
          </w:rPr>
          <w:t>: Dépenses des prestataires de soins de santé pour le VIH et le SIDA en million de FCFA</w:t>
        </w:r>
        <w:r w:rsidR="009721AB">
          <w:rPr>
            <w:noProof/>
            <w:webHidden/>
          </w:rPr>
          <w:tab/>
        </w:r>
        <w:r>
          <w:rPr>
            <w:noProof/>
            <w:webHidden/>
          </w:rPr>
          <w:fldChar w:fldCharType="begin"/>
        </w:r>
        <w:r w:rsidR="009721AB">
          <w:rPr>
            <w:noProof/>
            <w:webHidden/>
          </w:rPr>
          <w:instrText xml:space="preserve"> PAGEREF _Toc483991283 \h </w:instrText>
        </w:r>
        <w:r>
          <w:rPr>
            <w:noProof/>
            <w:webHidden/>
          </w:rPr>
        </w:r>
        <w:r>
          <w:rPr>
            <w:noProof/>
            <w:webHidden/>
          </w:rPr>
          <w:fldChar w:fldCharType="separate"/>
        </w:r>
        <w:r w:rsidR="009721AB">
          <w:rPr>
            <w:noProof/>
            <w:webHidden/>
          </w:rPr>
          <w:t>71</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84" w:history="1">
        <w:r w:rsidR="009721AB" w:rsidRPr="007F0809">
          <w:rPr>
            <w:rStyle w:val="Lienhypertexte"/>
            <w:noProof/>
          </w:rPr>
          <w:t>Tableau 6.2.5</w:t>
        </w:r>
        <w:r w:rsidR="009721AB" w:rsidRPr="007F0809">
          <w:rPr>
            <w:rStyle w:val="Lienhypertexte"/>
            <w:noProof/>
            <w:lang w:eastAsia="en-US"/>
          </w:rPr>
          <w:t>: Répartition des dépenses du VIH et du SIDA par fonction sanitaire (</w:t>
        </w:r>
        <w:r w:rsidR="009721AB" w:rsidRPr="007F0809">
          <w:rPr>
            <w:rStyle w:val="Lienhypertexte"/>
            <w:rFonts w:eastAsia="Times New Roman"/>
            <w:noProof/>
            <w:lang w:eastAsia="fr-FR"/>
          </w:rPr>
          <w:t>en million de FCFA)</w:t>
        </w:r>
        <w:r w:rsidR="009721AB">
          <w:rPr>
            <w:noProof/>
            <w:webHidden/>
          </w:rPr>
          <w:tab/>
        </w:r>
        <w:r>
          <w:rPr>
            <w:noProof/>
            <w:webHidden/>
          </w:rPr>
          <w:fldChar w:fldCharType="begin"/>
        </w:r>
        <w:r w:rsidR="009721AB">
          <w:rPr>
            <w:noProof/>
            <w:webHidden/>
          </w:rPr>
          <w:instrText xml:space="preserve"> PAGEREF _Toc483991284 \h </w:instrText>
        </w:r>
        <w:r>
          <w:rPr>
            <w:noProof/>
            <w:webHidden/>
          </w:rPr>
        </w:r>
        <w:r>
          <w:rPr>
            <w:noProof/>
            <w:webHidden/>
          </w:rPr>
          <w:fldChar w:fldCharType="separate"/>
        </w:r>
        <w:r w:rsidR="009721AB">
          <w:rPr>
            <w:noProof/>
            <w:webHidden/>
          </w:rPr>
          <w:t>72</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85" w:history="1">
        <w:r w:rsidR="009721AB" w:rsidRPr="007F0809">
          <w:rPr>
            <w:rStyle w:val="Lienhypertexte"/>
            <w:noProof/>
          </w:rPr>
          <w:t>Tableau 7.2.1</w:t>
        </w:r>
        <w:r w:rsidR="009721AB" w:rsidRPr="007F0809">
          <w:rPr>
            <w:rStyle w:val="Lienhypertexte"/>
            <w:noProof/>
            <w:lang w:eastAsia="en-US"/>
          </w:rPr>
          <w:t>: Répartition des dépenses de la Santé Reproduction Recettes de régimes de financement CS 2014</w:t>
        </w:r>
        <w:r w:rsidR="009721AB">
          <w:rPr>
            <w:noProof/>
            <w:webHidden/>
          </w:rPr>
          <w:tab/>
        </w:r>
        <w:r>
          <w:rPr>
            <w:noProof/>
            <w:webHidden/>
          </w:rPr>
          <w:fldChar w:fldCharType="begin"/>
        </w:r>
        <w:r w:rsidR="009721AB">
          <w:rPr>
            <w:noProof/>
            <w:webHidden/>
          </w:rPr>
          <w:instrText xml:space="preserve"> PAGEREF _Toc483991285 \h </w:instrText>
        </w:r>
        <w:r>
          <w:rPr>
            <w:noProof/>
            <w:webHidden/>
          </w:rPr>
        </w:r>
        <w:r>
          <w:rPr>
            <w:noProof/>
            <w:webHidden/>
          </w:rPr>
          <w:fldChar w:fldCharType="separate"/>
        </w:r>
        <w:r w:rsidR="009721AB">
          <w:rPr>
            <w:noProof/>
            <w:webHidden/>
          </w:rPr>
          <w:t>75</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86" w:history="1">
        <w:r w:rsidR="009721AB" w:rsidRPr="007F0809">
          <w:rPr>
            <w:rStyle w:val="Lienhypertexte"/>
            <w:noProof/>
          </w:rPr>
          <w:t>Tableau 7.2.2</w:t>
        </w:r>
        <w:r w:rsidR="009721AB" w:rsidRPr="007F0809">
          <w:rPr>
            <w:rStyle w:val="Lienhypertexte"/>
            <w:noProof/>
            <w:lang w:eastAsia="en-US"/>
          </w:rPr>
          <w:t>:</w:t>
        </w:r>
        <w:r w:rsidR="009721AB" w:rsidRPr="007F0809">
          <w:rPr>
            <w:rStyle w:val="Lienhypertexte"/>
            <w:noProof/>
            <w:lang w:eastAsia="fr-FR"/>
          </w:rPr>
          <w:t>Répartition des dépenses de la santé de la reproductionpar région</w:t>
        </w:r>
        <w:r w:rsidR="009721AB">
          <w:rPr>
            <w:noProof/>
            <w:webHidden/>
          </w:rPr>
          <w:tab/>
        </w:r>
        <w:r>
          <w:rPr>
            <w:noProof/>
            <w:webHidden/>
          </w:rPr>
          <w:fldChar w:fldCharType="begin"/>
        </w:r>
        <w:r w:rsidR="009721AB">
          <w:rPr>
            <w:noProof/>
            <w:webHidden/>
          </w:rPr>
          <w:instrText xml:space="preserve"> PAGEREF _Toc483991286 \h </w:instrText>
        </w:r>
        <w:r>
          <w:rPr>
            <w:noProof/>
            <w:webHidden/>
          </w:rPr>
        </w:r>
        <w:r>
          <w:rPr>
            <w:noProof/>
            <w:webHidden/>
          </w:rPr>
          <w:fldChar w:fldCharType="separate"/>
        </w:r>
        <w:r w:rsidR="009721AB">
          <w:rPr>
            <w:noProof/>
            <w:webHidden/>
          </w:rPr>
          <w:t>76</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87" w:history="1">
        <w:r w:rsidR="009721AB" w:rsidRPr="007F0809">
          <w:rPr>
            <w:rStyle w:val="Lienhypertexte"/>
            <w:noProof/>
          </w:rPr>
          <w:t>Tableau 7.2.3</w:t>
        </w:r>
        <w:r w:rsidR="009721AB" w:rsidRPr="007F0809">
          <w:rPr>
            <w:rStyle w:val="Lienhypertexte"/>
            <w:noProof/>
            <w:lang w:eastAsia="en-US"/>
          </w:rPr>
          <w:t xml:space="preserve"> : Répartition des dépenses  de la Santé de la Reproduction par unités institutionnelles</w:t>
        </w:r>
        <w:r w:rsidR="009721AB">
          <w:rPr>
            <w:noProof/>
            <w:webHidden/>
          </w:rPr>
          <w:tab/>
        </w:r>
        <w:r>
          <w:rPr>
            <w:noProof/>
            <w:webHidden/>
          </w:rPr>
          <w:fldChar w:fldCharType="begin"/>
        </w:r>
        <w:r w:rsidR="009721AB">
          <w:rPr>
            <w:noProof/>
            <w:webHidden/>
          </w:rPr>
          <w:instrText xml:space="preserve"> PAGEREF _Toc483991287 \h </w:instrText>
        </w:r>
        <w:r>
          <w:rPr>
            <w:noProof/>
            <w:webHidden/>
          </w:rPr>
        </w:r>
        <w:r>
          <w:rPr>
            <w:noProof/>
            <w:webHidden/>
          </w:rPr>
          <w:fldChar w:fldCharType="separate"/>
        </w:r>
        <w:r w:rsidR="009721AB">
          <w:rPr>
            <w:noProof/>
            <w:webHidden/>
          </w:rPr>
          <w:t>77</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88" w:history="1">
        <w:r w:rsidR="009721AB" w:rsidRPr="007F0809">
          <w:rPr>
            <w:rStyle w:val="Lienhypertexte"/>
            <w:noProof/>
          </w:rPr>
          <w:t>Tableau 7.2.4</w:t>
        </w:r>
        <w:r w:rsidR="009721AB" w:rsidRPr="007F0809">
          <w:rPr>
            <w:rStyle w:val="Lienhypertexte"/>
            <w:noProof/>
            <w:lang w:eastAsia="en-US"/>
          </w:rPr>
          <w:t xml:space="preserve"> : Répartition des dépenses de SR par  prestataire</w:t>
        </w:r>
        <w:r w:rsidR="009721AB">
          <w:rPr>
            <w:noProof/>
            <w:webHidden/>
          </w:rPr>
          <w:tab/>
        </w:r>
        <w:r>
          <w:rPr>
            <w:noProof/>
            <w:webHidden/>
          </w:rPr>
          <w:fldChar w:fldCharType="begin"/>
        </w:r>
        <w:r w:rsidR="009721AB">
          <w:rPr>
            <w:noProof/>
            <w:webHidden/>
          </w:rPr>
          <w:instrText xml:space="preserve"> PAGEREF _Toc483991288 \h </w:instrText>
        </w:r>
        <w:r>
          <w:rPr>
            <w:noProof/>
            <w:webHidden/>
          </w:rPr>
        </w:r>
        <w:r>
          <w:rPr>
            <w:noProof/>
            <w:webHidden/>
          </w:rPr>
          <w:fldChar w:fldCharType="separate"/>
        </w:r>
        <w:r w:rsidR="009721AB">
          <w:rPr>
            <w:noProof/>
            <w:webHidden/>
          </w:rPr>
          <w:t>78</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89" w:history="1">
        <w:r w:rsidR="009721AB" w:rsidRPr="007F0809">
          <w:rPr>
            <w:rStyle w:val="Lienhypertexte"/>
            <w:noProof/>
          </w:rPr>
          <w:t>Tableau 7.2.5</w:t>
        </w:r>
        <w:r w:rsidR="009721AB" w:rsidRPr="007F0809">
          <w:rPr>
            <w:rStyle w:val="Lienhypertexte"/>
            <w:noProof/>
            <w:lang w:eastAsia="en-US"/>
          </w:rPr>
          <w:t> : Répartition des dépenses de la  Santé de la Reproduction par fonction</w:t>
        </w:r>
        <w:r w:rsidR="009721AB">
          <w:rPr>
            <w:noProof/>
            <w:webHidden/>
          </w:rPr>
          <w:tab/>
        </w:r>
        <w:r>
          <w:rPr>
            <w:noProof/>
            <w:webHidden/>
          </w:rPr>
          <w:fldChar w:fldCharType="begin"/>
        </w:r>
        <w:r w:rsidR="009721AB">
          <w:rPr>
            <w:noProof/>
            <w:webHidden/>
          </w:rPr>
          <w:instrText xml:space="preserve"> PAGEREF _Toc483991289 \h </w:instrText>
        </w:r>
        <w:r>
          <w:rPr>
            <w:noProof/>
            <w:webHidden/>
          </w:rPr>
        </w:r>
        <w:r>
          <w:rPr>
            <w:noProof/>
            <w:webHidden/>
          </w:rPr>
          <w:fldChar w:fldCharType="separate"/>
        </w:r>
        <w:r w:rsidR="009721AB">
          <w:rPr>
            <w:noProof/>
            <w:webHidden/>
          </w:rPr>
          <w:t>80</w:t>
        </w:r>
        <w:r>
          <w:rPr>
            <w:noProof/>
            <w:webHidden/>
          </w:rPr>
          <w:fldChar w:fldCharType="end"/>
        </w:r>
      </w:hyperlink>
    </w:p>
    <w:p w:rsidR="009721AB" w:rsidRDefault="00E72F8E">
      <w:pPr>
        <w:pStyle w:val="Tabledesillustrations"/>
        <w:tabs>
          <w:tab w:val="right" w:leader="dot" w:pos="9396"/>
        </w:tabs>
        <w:rPr>
          <w:rFonts w:asciiTheme="minorHAnsi" w:eastAsiaTheme="minorEastAsia" w:hAnsiTheme="minorHAnsi" w:cstheme="minorBidi"/>
          <w:bCs w:val="0"/>
          <w:noProof/>
          <w:color w:val="auto"/>
          <w:sz w:val="22"/>
          <w:szCs w:val="22"/>
          <w:lang w:eastAsia="fr-FR"/>
        </w:rPr>
      </w:pPr>
      <w:hyperlink w:anchor="_Toc483991290" w:history="1">
        <w:r w:rsidR="009721AB" w:rsidRPr="007F0809">
          <w:rPr>
            <w:rStyle w:val="Lienhypertexte"/>
            <w:noProof/>
          </w:rPr>
          <w:t>Tableau 7.2.6</w:t>
        </w:r>
        <w:r w:rsidR="009721AB" w:rsidRPr="007F0809">
          <w:rPr>
            <w:rStyle w:val="Lienhypertexte"/>
            <w:noProof/>
            <w:lang w:eastAsia="en-US"/>
          </w:rPr>
          <w:t>: Répartition des dépenses de la Santé de la Reproduction  par domaine.</w:t>
        </w:r>
        <w:r w:rsidR="009721AB">
          <w:rPr>
            <w:noProof/>
            <w:webHidden/>
          </w:rPr>
          <w:tab/>
        </w:r>
        <w:r>
          <w:rPr>
            <w:noProof/>
            <w:webHidden/>
          </w:rPr>
          <w:fldChar w:fldCharType="begin"/>
        </w:r>
        <w:r w:rsidR="009721AB">
          <w:rPr>
            <w:noProof/>
            <w:webHidden/>
          </w:rPr>
          <w:instrText xml:space="preserve"> PAGEREF _Toc483991290 \h </w:instrText>
        </w:r>
        <w:r>
          <w:rPr>
            <w:noProof/>
            <w:webHidden/>
          </w:rPr>
        </w:r>
        <w:r>
          <w:rPr>
            <w:noProof/>
            <w:webHidden/>
          </w:rPr>
          <w:fldChar w:fldCharType="separate"/>
        </w:r>
        <w:r w:rsidR="009721AB">
          <w:rPr>
            <w:noProof/>
            <w:webHidden/>
          </w:rPr>
          <w:t>80</w:t>
        </w:r>
        <w:r>
          <w:rPr>
            <w:noProof/>
            <w:webHidden/>
          </w:rPr>
          <w:fldChar w:fldCharType="end"/>
        </w:r>
      </w:hyperlink>
    </w:p>
    <w:p w:rsidR="00994060" w:rsidRPr="00994060" w:rsidRDefault="00E72F8E" w:rsidP="00994060">
      <w:pPr>
        <w:autoSpaceDE/>
        <w:autoSpaceDN/>
        <w:adjustRightInd/>
        <w:spacing w:after="200" w:line="240" w:lineRule="auto"/>
        <w:rPr>
          <w:noProof/>
          <w:sz w:val="22"/>
          <w:szCs w:val="22"/>
        </w:rPr>
      </w:pPr>
      <w:r w:rsidRPr="00994060">
        <w:rPr>
          <w:sz w:val="22"/>
          <w:szCs w:val="22"/>
        </w:rPr>
        <w:fldChar w:fldCharType="end"/>
      </w:r>
      <w:r w:rsidRPr="00670714">
        <w:rPr>
          <w:sz w:val="22"/>
          <w:szCs w:val="22"/>
        </w:rPr>
        <w:fldChar w:fldCharType="begin"/>
      </w:r>
      <w:r w:rsidR="00C71512" w:rsidRPr="00670714">
        <w:rPr>
          <w:sz w:val="22"/>
          <w:szCs w:val="22"/>
        </w:rPr>
        <w:instrText xml:space="preserve"> TOC \h \z \c "Tableau annexe" </w:instrText>
      </w:r>
      <w:r w:rsidRPr="00670714">
        <w:rPr>
          <w:sz w:val="22"/>
          <w:szCs w:val="22"/>
        </w:rPr>
        <w:fldChar w:fldCharType="separate"/>
      </w:r>
    </w:p>
    <w:p w:rsidR="00994060" w:rsidRPr="00994060" w:rsidRDefault="00E72F8E"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4" w:history="1">
        <w:r w:rsidR="00994060" w:rsidRPr="00994060">
          <w:rPr>
            <w:rStyle w:val="Lienhypertexte"/>
            <w:noProof/>
            <w:sz w:val="22"/>
            <w:szCs w:val="22"/>
          </w:rPr>
          <w:t>Tableau annexe 1</w:t>
        </w:r>
        <w:r w:rsidR="00994060" w:rsidRPr="00994060">
          <w:rPr>
            <w:rStyle w:val="Lienhypertexte"/>
            <w:noProof/>
            <w:sz w:val="22"/>
            <w:szCs w:val="22"/>
            <w:lang w:eastAsia="en-US"/>
          </w:rPr>
          <w:t>: Description des clés de répartition utilisées pour la codification des données</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_Toc418858334 \h </w:instrText>
        </w:r>
        <w:r w:rsidRPr="00994060">
          <w:rPr>
            <w:noProof/>
            <w:webHidden/>
            <w:sz w:val="22"/>
            <w:szCs w:val="22"/>
          </w:rPr>
        </w:r>
        <w:r w:rsidRPr="00994060">
          <w:rPr>
            <w:noProof/>
            <w:webHidden/>
            <w:sz w:val="22"/>
            <w:szCs w:val="22"/>
          </w:rPr>
          <w:fldChar w:fldCharType="separate"/>
        </w:r>
        <w:r w:rsidR="00994060" w:rsidRPr="00994060">
          <w:rPr>
            <w:noProof/>
            <w:webHidden/>
            <w:sz w:val="22"/>
            <w:szCs w:val="22"/>
          </w:rPr>
          <w:t>III</w:t>
        </w:r>
        <w:r w:rsidRPr="00994060">
          <w:rPr>
            <w:noProof/>
            <w:webHidden/>
            <w:sz w:val="22"/>
            <w:szCs w:val="22"/>
          </w:rPr>
          <w:fldChar w:fldCharType="end"/>
        </w:r>
      </w:hyperlink>
    </w:p>
    <w:p w:rsidR="00994060" w:rsidRPr="00994060" w:rsidRDefault="00E72F8E"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5" w:history="1">
        <w:r w:rsidR="00994060" w:rsidRPr="00994060">
          <w:rPr>
            <w:rStyle w:val="Lienhypertexte"/>
            <w:noProof/>
            <w:sz w:val="22"/>
            <w:szCs w:val="22"/>
          </w:rPr>
          <w:t>Tableau annexe 2: Répartition des dépenses courantes de santé selon les régimes de financement et les recettes des régimes de financement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_Toc418858335 \h </w:instrText>
        </w:r>
        <w:r w:rsidRPr="00994060">
          <w:rPr>
            <w:noProof/>
            <w:webHidden/>
            <w:sz w:val="22"/>
            <w:szCs w:val="22"/>
          </w:rPr>
        </w:r>
        <w:r w:rsidRPr="00994060">
          <w:rPr>
            <w:noProof/>
            <w:webHidden/>
            <w:sz w:val="22"/>
            <w:szCs w:val="22"/>
          </w:rPr>
          <w:fldChar w:fldCharType="separate"/>
        </w:r>
        <w:r w:rsidR="00994060" w:rsidRPr="00994060">
          <w:rPr>
            <w:noProof/>
            <w:webHidden/>
            <w:sz w:val="22"/>
            <w:szCs w:val="22"/>
          </w:rPr>
          <w:t>V</w:t>
        </w:r>
        <w:r w:rsidRPr="00994060">
          <w:rPr>
            <w:noProof/>
            <w:webHidden/>
            <w:sz w:val="22"/>
            <w:szCs w:val="22"/>
          </w:rPr>
          <w:fldChar w:fldCharType="end"/>
        </w:r>
      </w:hyperlink>
    </w:p>
    <w:p w:rsidR="00994060" w:rsidRPr="00994060" w:rsidRDefault="00E72F8E"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6" w:history="1">
        <w:r w:rsidR="00994060" w:rsidRPr="00994060">
          <w:rPr>
            <w:rStyle w:val="Lienhypertexte"/>
            <w:noProof/>
            <w:sz w:val="22"/>
            <w:szCs w:val="22"/>
          </w:rPr>
          <w:t>Tableau annexe 3: Répartition des dépenses courantes de santé selon les prestataires de soins de santé et les régimes de financement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_Toc418858336 \h </w:instrText>
        </w:r>
        <w:r w:rsidRPr="00994060">
          <w:rPr>
            <w:noProof/>
            <w:webHidden/>
            <w:sz w:val="22"/>
            <w:szCs w:val="22"/>
          </w:rPr>
        </w:r>
        <w:r w:rsidRPr="00994060">
          <w:rPr>
            <w:noProof/>
            <w:webHidden/>
            <w:sz w:val="22"/>
            <w:szCs w:val="22"/>
          </w:rPr>
          <w:fldChar w:fldCharType="separate"/>
        </w:r>
        <w:r w:rsidR="00994060" w:rsidRPr="00994060">
          <w:rPr>
            <w:noProof/>
            <w:webHidden/>
            <w:sz w:val="22"/>
            <w:szCs w:val="22"/>
          </w:rPr>
          <w:t>VI</w:t>
        </w:r>
        <w:r w:rsidRPr="00994060">
          <w:rPr>
            <w:noProof/>
            <w:webHidden/>
            <w:sz w:val="22"/>
            <w:szCs w:val="22"/>
          </w:rPr>
          <w:fldChar w:fldCharType="end"/>
        </w:r>
      </w:hyperlink>
    </w:p>
    <w:p w:rsidR="00994060" w:rsidRPr="00994060" w:rsidRDefault="00E72F8E"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7" w:history="1">
        <w:r w:rsidR="00994060" w:rsidRPr="00994060">
          <w:rPr>
            <w:rStyle w:val="Lienhypertexte"/>
            <w:noProof/>
            <w:sz w:val="22"/>
            <w:szCs w:val="22"/>
          </w:rPr>
          <w:t>Tableau annexe 4: Répartition des dépenses courantes de santé selon les fonctions de soins de santé et les régimes de financement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_Toc418858337 \h </w:instrText>
        </w:r>
        <w:r w:rsidRPr="00994060">
          <w:rPr>
            <w:noProof/>
            <w:webHidden/>
            <w:sz w:val="22"/>
            <w:szCs w:val="22"/>
          </w:rPr>
        </w:r>
        <w:r w:rsidRPr="00994060">
          <w:rPr>
            <w:noProof/>
            <w:webHidden/>
            <w:sz w:val="22"/>
            <w:szCs w:val="22"/>
          </w:rPr>
          <w:fldChar w:fldCharType="separate"/>
        </w:r>
        <w:r w:rsidR="00994060" w:rsidRPr="00994060">
          <w:rPr>
            <w:noProof/>
            <w:webHidden/>
            <w:sz w:val="22"/>
            <w:szCs w:val="22"/>
          </w:rPr>
          <w:t>VIII</w:t>
        </w:r>
        <w:r w:rsidRPr="00994060">
          <w:rPr>
            <w:noProof/>
            <w:webHidden/>
            <w:sz w:val="22"/>
            <w:szCs w:val="22"/>
          </w:rPr>
          <w:fldChar w:fldCharType="end"/>
        </w:r>
      </w:hyperlink>
    </w:p>
    <w:p w:rsidR="00994060" w:rsidRPr="00994060" w:rsidRDefault="00E72F8E"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8" w:history="1">
        <w:r w:rsidR="00994060" w:rsidRPr="00994060">
          <w:rPr>
            <w:rStyle w:val="Lienhypertexte"/>
            <w:noProof/>
            <w:sz w:val="22"/>
            <w:szCs w:val="22"/>
          </w:rPr>
          <w:t>Tableau annexe 5: Répartition des dépenses courantes de santé selon les prestataires et les fonctions de soins de santé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_Toc418858338 \h </w:instrText>
        </w:r>
        <w:r w:rsidRPr="00994060">
          <w:rPr>
            <w:noProof/>
            <w:webHidden/>
            <w:sz w:val="22"/>
            <w:szCs w:val="22"/>
          </w:rPr>
        </w:r>
        <w:r w:rsidRPr="00994060">
          <w:rPr>
            <w:noProof/>
            <w:webHidden/>
            <w:sz w:val="22"/>
            <w:szCs w:val="22"/>
          </w:rPr>
          <w:fldChar w:fldCharType="separate"/>
        </w:r>
        <w:r w:rsidR="00994060" w:rsidRPr="00994060">
          <w:rPr>
            <w:noProof/>
            <w:webHidden/>
            <w:sz w:val="22"/>
            <w:szCs w:val="22"/>
          </w:rPr>
          <w:t>X</w:t>
        </w:r>
        <w:r w:rsidRPr="00994060">
          <w:rPr>
            <w:noProof/>
            <w:webHidden/>
            <w:sz w:val="22"/>
            <w:szCs w:val="22"/>
          </w:rPr>
          <w:fldChar w:fldCharType="end"/>
        </w:r>
      </w:hyperlink>
    </w:p>
    <w:p w:rsidR="00994060" w:rsidRPr="00994060" w:rsidRDefault="00E72F8E"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9" w:history="1">
        <w:r w:rsidR="00994060" w:rsidRPr="00994060">
          <w:rPr>
            <w:rStyle w:val="Lienhypertexte"/>
            <w:noProof/>
            <w:sz w:val="22"/>
            <w:szCs w:val="22"/>
          </w:rPr>
          <w:t>Tableau annexe 6 : Répartition des dépenses courantes de santé selon les prestataires de soins de santé et les facteurs de prestation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_Toc418858339 \h </w:instrText>
        </w:r>
        <w:r w:rsidRPr="00994060">
          <w:rPr>
            <w:noProof/>
            <w:webHidden/>
            <w:sz w:val="22"/>
            <w:szCs w:val="22"/>
          </w:rPr>
        </w:r>
        <w:r w:rsidRPr="00994060">
          <w:rPr>
            <w:noProof/>
            <w:webHidden/>
            <w:sz w:val="22"/>
            <w:szCs w:val="22"/>
          </w:rPr>
          <w:fldChar w:fldCharType="separate"/>
        </w:r>
        <w:r w:rsidR="00994060" w:rsidRPr="00994060">
          <w:rPr>
            <w:noProof/>
            <w:webHidden/>
            <w:sz w:val="22"/>
            <w:szCs w:val="22"/>
          </w:rPr>
          <w:t>XI</w:t>
        </w:r>
        <w:r w:rsidRPr="00994060">
          <w:rPr>
            <w:noProof/>
            <w:webHidden/>
            <w:sz w:val="22"/>
            <w:szCs w:val="22"/>
          </w:rPr>
          <w:fldChar w:fldCharType="end"/>
        </w:r>
      </w:hyperlink>
    </w:p>
    <w:p w:rsidR="00994060" w:rsidRPr="00994060" w:rsidRDefault="00E72F8E"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40" w:history="1">
        <w:r w:rsidR="00994060" w:rsidRPr="00994060">
          <w:rPr>
            <w:rStyle w:val="Lienhypertexte"/>
            <w:noProof/>
            <w:sz w:val="22"/>
            <w:szCs w:val="22"/>
          </w:rPr>
          <w:t>Tableau annexe 7 : Répartition des dépenses courantes de santé selon les maladies/affections et les régimes de financement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_Toc418858340 \h </w:instrText>
        </w:r>
        <w:r w:rsidRPr="00994060">
          <w:rPr>
            <w:noProof/>
            <w:webHidden/>
            <w:sz w:val="22"/>
            <w:szCs w:val="22"/>
          </w:rPr>
        </w:r>
        <w:r w:rsidRPr="00994060">
          <w:rPr>
            <w:noProof/>
            <w:webHidden/>
            <w:sz w:val="22"/>
            <w:szCs w:val="22"/>
          </w:rPr>
          <w:fldChar w:fldCharType="separate"/>
        </w:r>
        <w:r w:rsidR="00994060" w:rsidRPr="00994060">
          <w:rPr>
            <w:noProof/>
            <w:webHidden/>
            <w:sz w:val="22"/>
            <w:szCs w:val="22"/>
          </w:rPr>
          <w:t>XII</w:t>
        </w:r>
        <w:r w:rsidRPr="00994060">
          <w:rPr>
            <w:noProof/>
            <w:webHidden/>
            <w:sz w:val="22"/>
            <w:szCs w:val="22"/>
          </w:rPr>
          <w:fldChar w:fldCharType="end"/>
        </w:r>
      </w:hyperlink>
    </w:p>
    <w:p w:rsidR="00994060" w:rsidRDefault="00E72F8E"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41" w:history="1">
        <w:r w:rsidR="00994060" w:rsidRPr="00994060">
          <w:rPr>
            <w:rStyle w:val="Lienhypertexte"/>
            <w:noProof/>
            <w:sz w:val="22"/>
            <w:szCs w:val="22"/>
          </w:rPr>
          <w:t xml:space="preserve">Tableau annexe 8 : Répartition des dépenses d’investissement de santé selon les </w:t>
        </w:r>
        <w:r w:rsidR="00994060" w:rsidRPr="00994060">
          <w:rPr>
            <w:rStyle w:val="Lienhypertexte"/>
            <w:rFonts w:eastAsia="Times New Roman"/>
            <w:noProof/>
            <w:sz w:val="22"/>
            <w:szCs w:val="22"/>
            <w:lang w:eastAsia="fr-FR"/>
          </w:rPr>
          <w:t>Unités institutionnelles fournissant des revenus aux régimes de financement</w:t>
        </w:r>
        <w:r w:rsidR="00994060" w:rsidRPr="00994060">
          <w:rPr>
            <w:rStyle w:val="Lienhypertexte"/>
            <w:noProof/>
            <w:sz w:val="22"/>
            <w:szCs w:val="22"/>
          </w:rPr>
          <w:t xml:space="preserve">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_Toc418858341 \h </w:instrText>
        </w:r>
        <w:r w:rsidRPr="00994060">
          <w:rPr>
            <w:noProof/>
            <w:webHidden/>
            <w:sz w:val="22"/>
            <w:szCs w:val="22"/>
          </w:rPr>
        </w:r>
        <w:r w:rsidRPr="00994060">
          <w:rPr>
            <w:noProof/>
            <w:webHidden/>
            <w:sz w:val="22"/>
            <w:szCs w:val="22"/>
          </w:rPr>
          <w:fldChar w:fldCharType="separate"/>
        </w:r>
        <w:r w:rsidR="00994060" w:rsidRPr="00994060">
          <w:rPr>
            <w:noProof/>
            <w:webHidden/>
            <w:sz w:val="22"/>
            <w:szCs w:val="22"/>
          </w:rPr>
          <w:t>XIII</w:t>
        </w:r>
        <w:r w:rsidRPr="00994060">
          <w:rPr>
            <w:noProof/>
            <w:webHidden/>
            <w:sz w:val="22"/>
            <w:szCs w:val="22"/>
          </w:rPr>
          <w:fldChar w:fldCharType="end"/>
        </w:r>
      </w:hyperlink>
    </w:p>
    <w:p w:rsidR="00C71512" w:rsidRPr="00670714" w:rsidRDefault="00E72F8E" w:rsidP="00670714">
      <w:pPr>
        <w:autoSpaceDE/>
        <w:autoSpaceDN/>
        <w:adjustRightInd/>
        <w:spacing w:line="276" w:lineRule="auto"/>
        <w:jc w:val="left"/>
        <w:rPr>
          <w:sz w:val="22"/>
          <w:szCs w:val="22"/>
        </w:rPr>
      </w:pPr>
      <w:r w:rsidRPr="00670714">
        <w:rPr>
          <w:sz w:val="22"/>
          <w:szCs w:val="22"/>
        </w:rPr>
        <w:fldChar w:fldCharType="end"/>
      </w:r>
    </w:p>
    <w:p w:rsidR="00C71512" w:rsidRDefault="00C71512" w:rsidP="00670714">
      <w:pPr>
        <w:pStyle w:val="Titre1"/>
        <w:ind w:left="720"/>
      </w:pPr>
      <w:r>
        <w:t>Liste des graphiques</w:t>
      </w:r>
    </w:p>
    <w:p w:rsidR="00C71512" w:rsidRPr="00670714" w:rsidRDefault="00E72F8E" w:rsidP="00670714">
      <w:pPr>
        <w:autoSpaceDE/>
        <w:autoSpaceDN/>
        <w:adjustRightInd/>
        <w:spacing w:after="0" w:line="276" w:lineRule="auto"/>
        <w:jc w:val="left"/>
        <w:rPr>
          <w:rFonts w:asciiTheme="minorHAnsi" w:eastAsiaTheme="minorEastAsia" w:hAnsiTheme="minorHAnsi" w:cstheme="minorBidi"/>
          <w:bCs w:val="0"/>
          <w:noProof/>
          <w:color w:val="auto"/>
          <w:sz w:val="22"/>
          <w:szCs w:val="22"/>
          <w:lang w:eastAsia="fr-FR"/>
        </w:rPr>
      </w:pPr>
      <w:r>
        <w:rPr>
          <w:sz w:val="22"/>
          <w:szCs w:val="22"/>
        </w:rPr>
        <w:fldChar w:fldCharType="begin"/>
      </w:r>
      <w:r w:rsidR="00C71512">
        <w:rPr>
          <w:sz w:val="22"/>
          <w:szCs w:val="22"/>
        </w:rPr>
        <w:instrText xml:space="preserve"> TOC \h \z \c "Graphique" </w:instrText>
      </w:r>
      <w:r>
        <w:rPr>
          <w:sz w:val="22"/>
          <w:szCs w:val="22"/>
        </w:rPr>
        <w:fldChar w:fldCharType="separate"/>
      </w:r>
      <w:hyperlink w:anchor="_Toc413942142" w:history="1">
        <w:r w:rsidR="00C71512" w:rsidRPr="00670714">
          <w:rPr>
            <w:rStyle w:val="Lienhypertexte"/>
            <w:noProof/>
            <w:sz w:val="22"/>
            <w:szCs w:val="22"/>
          </w:rPr>
          <w:t>Graphique 3.1.1 : Situation des DTS en 2004 et en 2013........................</w:t>
        </w:r>
        <w:r w:rsidR="00C71512" w:rsidRPr="00670714">
          <w:rPr>
            <w:noProof/>
            <w:webHidden/>
            <w:sz w:val="22"/>
            <w:szCs w:val="22"/>
          </w:rPr>
          <w:t>.....................................................</w:t>
        </w:r>
        <w:r w:rsidRPr="00670714">
          <w:rPr>
            <w:noProof/>
            <w:webHidden/>
            <w:sz w:val="22"/>
            <w:szCs w:val="22"/>
          </w:rPr>
          <w:fldChar w:fldCharType="begin"/>
        </w:r>
        <w:r w:rsidR="00C71512" w:rsidRPr="00670714">
          <w:rPr>
            <w:noProof/>
            <w:webHidden/>
            <w:sz w:val="22"/>
            <w:szCs w:val="22"/>
          </w:rPr>
          <w:instrText xml:space="preserve"> PAGEREF _Toc413942142 \h </w:instrText>
        </w:r>
        <w:r w:rsidRPr="00670714">
          <w:rPr>
            <w:noProof/>
            <w:webHidden/>
            <w:sz w:val="22"/>
            <w:szCs w:val="22"/>
          </w:rPr>
        </w:r>
        <w:r w:rsidRPr="00670714">
          <w:rPr>
            <w:noProof/>
            <w:webHidden/>
            <w:sz w:val="22"/>
            <w:szCs w:val="22"/>
          </w:rPr>
          <w:fldChar w:fldCharType="separate"/>
        </w:r>
        <w:r w:rsidR="009D71B0">
          <w:rPr>
            <w:noProof/>
            <w:webHidden/>
            <w:sz w:val="22"/>
            <w:szCs w:val="22"/>
          </w:rPr>
          <w:t>32</w:t>
        </w:r>
        <w:r w:rsidRPr="00670714">
          <w:rPr>
            <w:noProof/>
            <w:webHidden/>
            <w:sz w:val="22"/>
            <w:szCs w:val="22"/>
          </w:rPr>
          <w:fldChar w:fldCharType="end"/>
        </w:r>
      </w:hyperlink>
    </w:p>
    <w:p w:rsidR="00C71512" w:rsidRPr="00670714" w:rsidRDefault="00E72F8E" w:rsidP="00670714">
      <w:pPr>
        <w:pStyle w:val="Tabledesillustrations"/>
        <w:tabs>
          <w:tab w:val="right" w:leader="dot" w:pos="9396"/>
        </w:tabs>
        <w:spacing w:line="276" w:lineRule="auto"/>
        <w:rPr>
          <w:rFonts w:asciiTheme="minorHAnsi" w:eastAsiaTheme="minorEastAsia" w:hAnsiTheme="minorHAnsi" w:cstheme="minorBidi"/>
          <w:bCs w:val="0"/>
          <w:noProof/>
          <w:color w:val="auto"/>
          <w:sz w:val="22"/>
          <w:szCs w:val="22"/>
          <w:lang w:eastAsia="fr-FR"/>
        </w:rPr>
      </w:pPr>
      <w:hyperlink w:anchor="_Toc413942143" w:history="1">
        <w:r w:rsidR="00C71512" w:rsidRPr="00670714">
          <w:rPr>
            <w:rStyle w:val="Lienhypertexte"/>
            <w:noProof/>
            <w:sz w:val="22"/>
            <w:szCs w:val="22"/>
          </w:rPr>
          <w:t>Graphique 4.2.1</w:t>
        </w:r>
        <w:r w:rsidR="00C71512" w:rsidRPr="00670714">
          <w:rPr>
            <w:rStyle w:val="Lienhypertexte"/>
            <w:b/>
            <w:noProof/>
            <w:sz w:val="22"/>
            <w:szCs w:val="22"/>
            <w:lang w:eastAsia="fr-FR"/>
          </w:rPr>
          <w:t> :</w:t>
        </w:r>
        <w:r w:rsidR="00C71512" w:rsidRPr="00670714">
          <w:rPr>
            <w:rStyle w:val="Lienhypertexte"/>
            <w:noProof/>
            <w:sz w:val="22"/>
            <w:szCs w:val="22"/>
            <w:lang w:eastAsia="fr-FR"/>
          </w:rPr>
          <w:t xml:space="preserve"> Répartition des dépenses par régime de financement</w:t>
        </w:r>
        <w:r w:rsidR="00C71512" w:rsidRPr="00670714">
          <w:rPr>
            <w:noProof/>
            <w:webHidden/>
            <w:sz w:val="22"/>
            <w:szCs w:val="22"/>
          </w:rPr>
          <w:tab/>
        </w:r>
        <w:r w:rsidRPr="00670714">
          <w:rPr>
            <w:noProof/>
            <w:webHidden/>
            <w:sz w:val="22"/>
            <w:szCs w:val="22"/>
          </w:rPr>
          <w:fldChar w:fldCharType="begin"/>
        </w:r>
        <w:r w:rsidR="00C71512" w:rsidRPr="00670714">
          <w:rPr>
            <w:noProof/>
            <w:webHidden/>
            <w:sz w:val="22"/>
            <w:szCs w:val="22"/>
          </w:rPr>
          <w:instrText xml:space="preserve"> PAGEREF _Toc413942143 \h </w:instrText>
        </w:r>
        <w:r w:rsidRPr="00670714">
          <w:rPr>
            <w:noProof/>
            <w:webHidden/>
            <w:sz w:val="22"/>
            <w:szCs w:val="22"/>
          </w:rPr>
        </w:r>
        <w:r w:rsidRPr="00670714">
          <w:rPr>
            <w:noProof/>
            <w:webHidden/>
            <w:sz w:val="22"/>
            <w:szCs w:val="22"/>
          </w:rPr>
          <w:fldChar w:fldCharType="separate"/>
        </w:r>
        <w:r w:rsidR="009D71B0">
          <w:rPr>
            <w:noProof/>
            <w:webHidden/>
            <w:sz w:val="22"/>
            <w:szCs w:val="22"/>
          </w:rPr>
          <w:t>53</w:t>
        </w:r>
        <w:r w:rsidRPr="00670714">
          <w:rPr>
            <w:noProof/>
            <w:webHidden/>
            <w:sz w:val="22"/>
            <w:szCs w:val="22"/>
          </w:rPr>
          <w:fldChar w:fldCharType="end"/>
        </w:r>
      </w:hyperlink>
    </w:p>
    <w:p w:rsidR="00C71512" w:rsidRDefault="00E72F8E" w:rsidP="00670714">
      <w:pPr>
        <w:pStyle w:val="Tabledesillustrations"/>
        <w:tabs>
          <w:tab w:val="right" w:leader="dot" w:pos="9396"/>
        </w:tabs>
        <w:spacing w:line="276" w:lineRule="auto"/>
        <w:rPr>
          <w:rFonts w:asciiTheme="minorHAnsi" w:eastAsiaTheme="minorEastAsia" w:hAnsiTheme="minorHAnsi" w:cstheme="minorBidi"/>
          <w:bCs w:val="0"/>
          <w:noProof/>
          <w:color w:val="auto"/>
          <w:sz w:val="22"/>
          <w:szCs w:val="22"/>
          <w:lang w:eastAsia="fr-FR"/>
        </w:rPr>
      </w:pPr>
      <w:hyperlink w:anchor="_Toc413942144" w:history="1">
        <w:r w:rsidR="00C71512" w:rsidRPr="00670714">
          <w:rPr>
            <w:rStyle w:val="Lienhypertexte"/>
            <w:noProof/>
            <w:sz w:val="22"/>
            <w:szCs w:val="22"/>
          </w:rPr>
          <w:t>Graphique 4.4.1</w:t>
        </w:r>
        <w:r w:rsidR="00C71512" w:rsidRPr="00670714">
          <w:rPr>
            <w:rStyle w:val="Lienhypertexte"/>
            <w:noProof/>
            <w:sz w:val="22"/>
            <w:szCs w:val="22"/>
            <w:lang w:eastAsia="fr-FR"/>
          </w:rPr>
          <w:t> : Répartition des dépenses de paludisme par tranche d’âge</w:t>
        </w:r>
        <w:r w:rsidR="00C71512" w:rsidRPr="00670714">
          <w:rPr>
            <w:noProof/>
            <w:webHidden/>
            <w:sz w:val="22"/>
            <w:szCs w:val="22"/>
          </w:rPr>
          <w:tab/>
        </w:r>
        <w:r w:rsidRPr="00670714">
          <w:rPr>
            <w:noProof/>
            <w:webHidden/>
            <w:sz w:val="22"/>
            <w:szCs w:val="22"/>
          </w:rPr>
          <w:fldChar w:fldCharType="begin"/>
        </w:r>
        <w:r w:rsidR="00C71512" w:rsidRPr="00670714">
          <w:rPr>
            <w:noProof/>
            <w:webHidden/>
            <w:sz w:val="22"/>
            <w:szCs w:val="22"/>
          </w:rPr>
          <w:instrText xml:space="preserve"> PAGEREF _Toc413942144 \h </w:instrText>
        </w:r>
        <w:r w:rsidRPr="00670714">
          <w:rPr>
            <w:noProof/>
            <w:webHidden/>
            <w:sz w:val="22"/>
            <w:szCs w:val="22"/>
          </w:rPr>
        </w:r>
        <w:r w:rsidRPr="00670714">
          <w:rPr>
            <w:noProof/>
            <w:webHidden/>
            <w:sz w:val="22"/>
            <w:szCs w:val="22"/>
          </w:rPr>
          <w:fldChar w:fldCharType="separate"/>
        </w:r>
        <w:r w:rsidR="009D71B0">
          <w:rPr>
            <w:noProof/>
            <w:webHidden/>
            <w:sz w:val="22"/>
            <w:szCs w:val="22"/>
          </w:rPr>
          <w:t>54</w:t>
        </w:r>
        <w:r w:rsidRPr="00670714">
          <w:rPr>
            <w:noProof/>
            <w:webHidden/>
            <w:sz w:val="22"/>
            <w:szCs w:val="22"/>
          </w:rPr>
          <w:fldChar w:fldCharType="end"/>
        </w:r>
      </w:hyperlink>
    </w:p>
    <w:p w:rsidR="00C51ADC" w:rsidRDefault="00E72F8E" w:rsidP="00C71512">
      <w:pPr>
        <w:autoSpaceDE/>
        <w:autoSpaceDN/>
        <w:adjustRightInd/>
        <w:spacing w:before="240" w:after="200" w:line="240" w:lineRule="auto"/>
        <w:jc w:val="left"/>
      </w:pPr>
      <w:r>
        <w:rPr>
          <w:sz w:val="22"/>
          <w:szCs w:val="22"/>
        </w:rPr>
        <w:fldChar w:fldCharType="end"/>
      </w:r>
      <w:r w:rsidR="00C51ADC">
        <w:br w:type="page"/>
      </w:r>
    </w:p>
    <w:p w:rsidR="006E2F4C" w:rsidRPr="00302D13" w:rsidRDefault="00352D08" w:rsidP="006C1F0C">
      <w:pPr>
        <w:pStyle w:val="Titre1"/>
      </w:pPr>
      <w:bookmarkStart w:id="3" w:name="_Toc413941201"/>
      <w:r w:rsidRPr="00302D13">
        <w:t>Préface</w:t>
      </w:r>
      <w:bookmarkEnd w:id="3"/>
    </w:p>
    <w:p w:rsidR="006E2F4C" w:rsidRPr="0044670F" w:rsidRDefault="006E2F4C" w:rsidP="00587784">
      <w:pPr>
        <w:spacing w:line="312" w:lineRule="auto"/>
        <w:rPr>
          <w:lang w:eastAsia="en-US"/>
        </w:rPr>
      </w:pPr>
      <w:r w:rsidRPr="0044670F">
        <w:rPr>
          <w:lang w:eastAsia="en-US"/>
        </w:rPr>
        <w:t xml:space="preserve">Le Programme Décennal de Développement Social et Sanitaire est le fruit d’un processus participatif et itératif qui a impliqué </w:t>
      </w:r>
      <w:r w:rsidR="00953460" w:rsidRPr="0044670F">
        <w:rPr>
          <w:lang w:eastAsia="en-US"/>
        </w:rPr>
        <w:t>tous</w:t>
      </w:r>
      <w:r w:rsidR="00485E18">
        <w:rPr>
          <w:lang w:eastAsia="en-US"/>
        </w:rPr>
        <w:t xml:space="preserve"> les</w:t>
      </w:r>
      <w:r w:rsidRPr="0044670F">
        <w:rPr>
          <w:lang w:eastAsia="en-US"/>
        </w:rPr>
        <w:t xml:space="preserve">acteurs clés du </w:t>
      </w:r>
      <w:r w:rsidR="00D9342E">
        <w:rPr>
          <w:lang w:eastAsia="en-US"/>
        </w:rPr>
        <w:t>secteur s</w:t>
      </w:r>
      <w:r w:rsidR="00953460" w:rsidRPr="0044670F">
        <w:rPr>
          <w:lang w:eastAsia="en-US"/>
        </w:rPr>
        <w:t>anté</w:t>
      </w:r>
      <w:r w:rsidR="00D9342E">
        <w:rPr>
          <w:lang w:eastAsia="en-US"/>
        </w:rPr>
        <w:t>, développement social et promotion de la famille</w:t>
      </w:r>
      <w:r w:rsidRPr="0044670F">
        <w:rPr>
          <w:lang w:eastAsia="en-US"/>
        </w:rPr>
        <w:t xml:space="preserve">. </w:t>
      </w:r>
    </w:p>
    <w:p w:rsidR="006E2F4C" w:rsidRPr="0044670F" w:rsidRDefault="006E2F4C" w:rsidP="00587784">
      <w:pPr>
        <w:spacing w:line="312" w:lineRule="auto"/>
        <w:rPr>
          <w:lang w:eastAsia="en-US"/>
        </w:rPr>
      </w:pPr>
      <w:r w:rsidRPr="0044670F">
        <w:rPr>
          <w:lang w:eastAsia="en-US"/>
        </w:rPr>
        <w:t>Ainsi, des synergies, axes et stratégies ont été développés dans le but de l’amélioration de la santé</w:t>
      </w:r>
      <w:r w:rsidR="00D9342E">
        <w:rPr>
          <w:lang w:eastAsia="en-US"/>
        </w:rPr>
        <w:t xml:space="preserve"> et du bien-être</w:t>
      </w:r>
      <w:r w:rsidRPr="0044670F">
        <w:rPr>
          <w:lang w:eastAsia="en-US"/>
        </w:rPr>
        <w:t xml:space="preserve"> de la population afin d’atteind</w:t>
      </w:r>
      <w:r w:rsidR="00953460" w:rsidRPr="0044670F">
        <w:rPr>
          <w:lang w:eastAsia="en-US"/>
        </w:rPr>
        <w:t xml:space="preserve">re les Objectifs du Millénaire </w:t>
      </w:r>
      <w:r w:rsidRPr="0044670F">
        <w:rPr>
          <w:lang w:eastAsia="en-US"/>
        </w:rPr>
        <w:t xml:space="preserve">pour le Développement. </w:t>
      </w:r>
    </w:p>
    <w:p w:rsidR="006E2F4C" w:rsidRPr="0044670F" w:rsidRDefault="006E2F4C" w:rsidP="00587784">
      <w:pPr>
        <w:spacing w:line="312" w:lineRule="auto"/>
        <w:rPr>
          <w:lang w:eastAsia="en-US"/>
        </w:rPr>
      </w:pPr>
      <w:r w:rsidRPr="0044670F">
        <w:rPr>
          <w:lang w:eastAsia="en-US"/>
        </w:rPr>
        <w:t>L'atteinte de ces objectifs suppose aussi la mise en œuvre de certaines réformes parmi lesquelles le développement des mécanismes de financement du secteur de la santé qui vis</w:t>
      </w:r>
      <w:r w:rsidR="00953460" w:rsidRPr="0044670F">
        <w:rPr>
          <w:lang w:eastAsia="en-US"/>
        </w:rPr>
        <w:t>e</w:t>
      </w:r>
      <w:r w:rsidRPr="0044670F">
        <w:rPr>
          <w:lang w:eastAsia="en-US"/>
        </w:rPr>
        <w:t xml:space="preserve"> à renforcer l’offre de soins et à rendre solvable la demande en vue non seulement de permettre un accès plus large aux services e</w:t>
      </w:r>
      <w:r w:rsidR="00953460" w:rsidRPr="0044670F">
        <w:rPr>
          <w:lang w:eastAsia="en-US"/>
        </w:rPr>
        <w:t>t soins de santé, mais aussi d’</w:t>
      </w:r>
      <w:r w:rsidRPr="0044670F">
        <w:rPr>
          <w:lang w:eastAsia="en-US"/>
        </w:rPr>
        <w:t xml:space="preserve">assurer la viabilité des structures. </w:t>
      </w:r>
    </w:p>
    <w:p w:rsidR="006E2F4C" w:rsidRPr="0044670F" w:rsidRDefault="006E2F4C" w:rsidP="00587784">
      <w:pPr>
        <w:spacing w:line="312" w:lineRule="auto"/>
        <w:rPr>
          <w:lang w:eastAsia="en-US"/>
        </w:rPr>
      </w:pPr>
      <w:r w:rsidRPr="0044670F">
        <w:rPr>
          <w:lang w:eastAsia="en-US"/>
        </w:rPr>
        <w:t>Les Comptes de la santé (CS) sont un outil indispensable du dispositif de suivi de la mise en œuvre de l’engagement de l’Etat et de ses partenaires pour un financement adéquat du secteur de la santé. Ils permettent d</w:t>
      </w:r>
      <w:r w:rsidR="00953460" w:rsidRPr="0044670F">
        <w:rPr>
          <w:lang w:eastAsia="en-US"/>
        </w:rPr>
        <w:t>’</w:t>
      </w:r>
      <w:r w:rsidRPr="0044670F">
        <w:rPr>
          <w:lang w:eastAsia="en-US"/>
        </w:rPr>
        <w:t>e</w:t>
      </w:r>
      <w:r w:rsidR="00953460" w:rsidRPr="0044670F">
        <w:rPr>
          <w:lang w:eastAsia="en-US"/>
        </w:rPr>
        <w:t>stimer</w:t>
      </w:r>
      <w:r w:rsidRPr="0044670F">
        <w:rPr>
          <w:lang w:eastAsia="en-US"/>
        </w:rPr>
        <w:t xml:space="preserve"> le volume des dépenses et de retracer les flux des financements utilisés dans le but de restaurer, d’améliorer ou d’entretenir la santé des individus, de la famille et de la communauté. </w:t>
      </w:r>
    </w:p>
    <w:p w:rsidR="006E2F4C" w:rsidRPr="0044670F" w:rsidRDefault="006E2F4C" w:rsidP="00587784">
      <w:pPr>
        <w:spacing w:line="312" w:lineRule="auto"/>
        <w:rPr>
          <w:lang w:eastAsia="en-US"/>
        </w:rPr>
      </w:pPr>
      <w:r w:rsidRPr="0044670F">
        <w:rPr>
          <w:lang w:eastAsia="en-US"/>
        </w:rPr>
        <w:t>L’institutionnalisation des comptes de la santé demeure une priorité des p</w:t>
      </w:r>
      <w:r w:rsidR="0029679D" w:rsidRPr="0044670F">
        <w:rPr>
          <w:lang w:eastAsia="en-US"/>
        </w:rPr>
        <w:t>ays membres de l’espace UEMOA</w:t>
      </w:r>
      <w:r w:rsidRPr="0044670F">
        <w:rPr>
          <w:lang w:eastAsia="en-US"/>
        </w:rPr>
        <w:t xml:space="preserve">. </w:t>
      </w:r>
      <w:r w:rsidR="0029679D" w:rsidRPr="0044670F">
        <w:rPr>
          <w:lang w:eastAsia="en-US"/>
        </w:rPr>
        <w:t>A cet</w:t>
      </w:r>
      <w:r w:rsidRPr="0044670F">
        <w:rPr>
          <w:lang w:eastAsia="en-US"/>
        </w:rPr>
        <w:t xml:space="preserve"> effet, </w:t>
      </w:r>
      <w:r w:rsidR="0029679D" w:rsidRPr="0044670F">
        <w:rPr>
          <w:lang w:eastAsia="en-US"/>
        </w:rPr>
        <w:t xml:space="preserve">dans un souci de comparabilité des indicateurs de santé dans </w:t>
      </w:r>
      <w:r w:rsidRPr="0044670F">
        <w:rPr>
          <w:lang w:eastAsia="en-US"/>
        </w:rPr>
        <w:t>l’espace UEMOA</w:t>
      </w:r>
      <w:r w:rsidR="0029679D" w:rsidRPr="0044670F">
        <w:rPr>
          <w:lang w:eastAsia="en-US"/>
        </w:rPr>
        <w:t xml:space="preserve">, les Etats membres </w:t>
      </w:r>
      <w:r w:rsidRPr="0044670F">
        <w:rPr>
          <w:lang w:eastAsia="en-US"/>
        </w:rPr>
        <w:t>ont déci</w:t>
      </w:r>
      <w:r w:rsidR="0029679D" w:rsidRPr="0044670F">
        <w:rPr>
          <w:lang w:eastAsia="en-US"/>
        </w:rPr>
        <w:t>dé</w:t>
      </w:r>
      <w:r w:rsidR="009721AB">
        <w:rPr>
          <w:lang w:eastAsia="en-US"/>
        </w:rPr>
        <w:t xml:space="preserve"> </w:t>
      </w:r>
      <w:r w:rsidR="0029679D" w:rsidRPr="0044670F">
        <w:rPr>
          <w:lang w:eastAsia="en-US"/>
        </w:rPr>
        <w:t xml:space="preserve">de </w:t>
      </w:r>
      <w:r w:rsidRPr="0044670F">
        <w:rPr>
          <w:lang w:eastAsia="en-US"/>
        </w:rPr>
        <w:t>la production régulière de</w:t>
      </w:r>
      <w:r w:rsidR="0029679D" w:rsidRPr="0044670F">
        <w:rPr>
          <w:lang w:eastAsia="en-US"/>
        </w:rPr>
        <w:t>s</w:t>
      </w:r>
      <w:r w:rsidR="00367A9C" w:rsidRPr="0044670F">
        <w:rPr>
          <w:lang w:eastAsia="en-US"/>
        </w:rPr>
        <w:t xml:space="preserve"> comptes</w:t>
      </w:r>
      <w:r w:rsidRPr="0044670F">
        <w:rPr>
          <w:lang w:eastAsia="en-US"/>
        </w:rPr>
        <w:t>.</w:t>
      </w:r>
    </w:p>
    <w:p w:rsidR="00E8195C" w:rsidRPr="0044670F" w:rsidRDefault="00AA5734" w:rsidP="00587784">
      <w:pPr>
        <w:spacing w:line="312" w:lineRule="auto"/>
        <w:rPr>
          <w:lang w:eastAsia="en-US"/>
        </w:rPr>
      </w:pPr>
      <w:r w:rsidRPr="0044670F">
        <w:rPr>
          <w:lang w:eastAsia="en-US"/>
        </w:rPr>
        <w:t>Le Mali a élaboré des comptes nationaux de la santé en 1989</w:t>
      </w:r>
      <w:r w:rsidR="00990F55" w:rsidRPr="0044670F">
        <w:rPr>
          <w:lang w:eastAsia="en-US"/>
        </w:rPr>
        <w:t xml:space="preserve"> (couvrant la période</w:t>
      </w:r>
      <w:r w:rsidR="009721AB">
        <w:rPr>
          <w:lang w:eastAsia="en-US"/>
        </w:rPr>
        <w:t xml:space="preserve"> </w:t>
      </w:r>
      <w:r w:rsidR="00990F55" w:rsidRPr="0044670F">
        <w:rPr>
          <w:lang w:eastAsia="en-US"/>
        </w:rPr>
        <w:t xml:space="preserve">de 1983-1987) et 1992 (couvrant la période de 1988-1991) ; mais ces comptes ne répondaient pas au format universel des comptes de la santé. </w:t>
      </w:r>
    </w:p>
    <w:p w:rsidR="006E2F4C" w:rsidRPr="0044670F" w:rsidRDefault="00990F55" w:rsidP="00587784">
      <w:pPr>
        <w:spacing w:line="312" w:lineRule="auto"/>
        <w:rPr>
          <w:lang w:eastAsia="en-US"/>
        </w:rPr>
      </w:pPr>
      <w:r w:rsidRPr="0044670F">
        <w:rPr>
          <w:lang w:eastAsia="en-US"/>
        </w:rPr>
        <w:t>Le Mali a produit s</w:t>
      </w:r>
      <w:r w:rsidR="00C06985" w:rsidRPr="0044670F">
        <w:rPr>
          <w:lang w:eastAsia="en-US"/>
        </w:rPr>
        <w:t>es</w:t>
      </w:r>
      <w:r w:rsidRPr="0044670F">
        <w:rPr>
          <w:lang w:eastAsia="en-US"/>
        </w:rPr>
        <w:t xml:space="preserve"> premier</w:t>
      </w:r>
      <w:r w:rsidR="00C06985" w:rsidRPr="0044670F">
        <w:rPr>
          <w:lang w:eastAsia="en-US"/>
        </w:rPr>
        <w:t>s</w:t>
      </w:r>
      <w:r w:rsidRPr="0044670F">
        <w:rPr>
          <w:lang w:eastAsia="en-US"/>
        </w:rPr>
        <w:t xml:space="preserve"> compte</w:t>
      </w:r>
      <w:r w:rsidR="00C06985" w:rsidRPr="0044670F">
        <w:rPr>
          <w:lang w:eastAsia="en-US"/>
        </w:rPr>
        <w:t>s de la santé</w:t>
      </w:r>
      <w:r w:rsidRPr="0044670F">
        <w:rPr>
          <w:lang w:eastAsia="en-US"/>
        </w:rPr>
        <w:t xml:space="preserve"> dans  le format universel en 2006 (couvrant la période </w:t>
      </w:r>
      <w:r w:rsidR="006E2F4C" w:rsidRPr="0044670F">
        <w:rPr>
          <w:lang w:eastAsia="en-US"/>
        </w:rPr>
        <w:t>1999-2004</w:t>
      </w:r>
      <w:r w:rsidRPr="0044670F">
        <w:rPr>
          <w:lang w:eastAsia="en-US"/>
        </w:rPr>
        <w:t>)</w:t>
      </w:r>
      <w:r w:rsidR="00E8195C" w:rsidRPr="0044670F">
        <w:rPr>
          <w:lang w:eastAsia="en-US"/>
        </w:rPr>
        <w:t>. L</w:t>
      </w:r>
      <w:r w:rsidR="006E2F4C" w:rsidRPr="0044670F">
        <w:rPr>
          <w:lang w:eastAsia="en-US"/>
        </w:rPr>
        <w:t>a production d</w:t>
      </w:r>
      <w:r w:rsidR="00E8195C" w:rsidRPr="0044670F">
        <w:rPr>
          <w:lang w:eastAsia="en-US"/>
        </w:rPr>
        <w:t>es</w:t>
      </w:r>
      <w:r w:rsidR="006E2F4C" w:rsidRPr="0044670F">
        <w:rPr>
          <w:lang w:eastAsia="en-US"/>
        </w:rPr>
        <w:t xml:space="preserve"> présent</w:t>
      </w:r>
      <w:r w:rsidR="00E8195C" w:rsidRPr="0044670F">
        <w:rPr>
          <w:lang w:eastAsia="en-US"/>
        </w:rPr>
        <w:t>s</w:t>
      </w:r>
      <w:r w:rsidR="009721AB">
        <w:rPr>
          <w:lang w:eastAsia="en-US"/>
        </w:rPr>
        <w:t xml:space="preserve"> </w:t>
      </w:r>
      <w:r w:rsidR="00E8195C" w:rsidRPr="0044670F">
        <w:rPr>
          <w:lang w:eastAsia="en-US"/>
        </w:rPr>
        <w:t xml:space="preserve">comptes </w:t>
      </w:r>
      <w:r w:rsidR="006E2F4C" w:rsidRPr="0044670F">
        <w:rPr>
          <w:lang w:eastAsia="en-US"/>
        </w:rPr>
        <w:t>traduit la volonté du Mali</w:t>
      </w:r>
      <w:r w:rsidR="00E8195C" w:rsidRPr="0044670F">
        <w:rPr>
          <w:lang w:eastAsia="en-US"/>
        </w:rPr>
        <w:t xml:space="preserve"> de rattraper le retard accusé </w:t>
      </w:r>
      <w:r w:rsidR="006E2F4C" w:rsidRPr="0044670F">
        <w:rPr>
          <w:lang w:eastAsia="en-US"/>
        </w:rPr>
        <w:t>dans cet exercice</w:t>
      </w:r>
      <w:r w:rsidR="00E8195C" w:rsidRPr="0044670F">
        <w:rPr>
          <w:lang w:eastAsia="en-US"/>
        </w:rPr>
        <w:t>.</w:t>
      </w:r>
    </w:p>
    <w:p w:rsidR="006E2F4C" w:rsidRPr="0044670F" w:rsidRDefault="006E2F4C" w:rsidP="00587784">
      <w:pPr>
        <w:spacing w:line="312" w:lineRule="auto"/>
        <w:rPr>
          <w:lang w:eastAsia="en-US"/>
        </w:rPr>
      </w:pPr>
      <w:r w:rsidRPr="0044670F">
        <w:rPr>
          <w:lang w:eastAsia="en-US"/>
        </w:rPr>
        <w:t xml:space="preserve">Le rapport des comptes </w:t>
      </w:r>
      <w:r w:rsidR="00E8195C" w:rsidRPr="0044670F">
        <w:rPr>
          <w:lang w:eastAsia="en-US"/>
        </w:rPr>
        <w:t xml:space="preserve">de la santé </w:t>
      </w:r>
      <w:r w:rsidRPr="0044670F">
        <w:rPr>
          <w:lang w:eastAsia="en-US"/>
        </w:rPr>
        <w:t>2013 fait ressortir des informations qui permettent de mieux connaître l’importance du rôle joué par les différents acteurs qui interviennent dans le financement de la santé en tant que sources de financement, gestionnaires des fonds ou prestataires de services de santé. Il a été élaboré avec la nouvelle méthodologie internationale des Comptes de la Santé (SHA</w:t>
      </w:r>
      <w:r w:rsidR="00E8195C" w:rsidRPr="0044670F">
        <w:rPr>
          <w:lang w:eastAsia="en-US"/>
        </w:rPr>
        <w:t xml:space="preserve"> 2011</w:t>
      </w:r>
      <w:r w:rsidRPr="0044670F">
        <w:rPr>
          <w:lang w:eastAsia="en-US"/>
        </w:rPr>
        <w:t>)</w:t>
      </w:r>
      <w:r w:rsidR="00BF352F">
        <w:rPr>
          <w:lang w:eastAsia="en-US"/>
        </w:rPr>
        <w:t>,</w:t>
      </w:r>
      <w:r w:rsidRPr="0044670F">
        <w:rPr>
          <w:lang w:eastAsia="en-US"/>
        </w:rPr>
        <w:t xml:space="preserve"> développée par l’Organisation Mondiale de la Santé (OMS) et les autres partenaires. </w:t>
      </w:r>
    </w:p>
    <w:p w:rsidR="006E2F4C" w:rsidRPr="0044670F" w:rsidRDefault="006E2F4C" w:rsidP="00587784">
      <w:pPr>
        <w:spacing w:line="312" w:lineRule="auto"/>
        <w:rPr>
          <w:lang w:eastAsia="en-US"/>
        </w:rPr>
      </w:pPr>
      <w:r w:rsidRPr="0044670F">
        <w:rPr>
          <w:lang w:eastAsia="en-US"/>
        </w:rPr>
        <w:t xml:space="preserve">Je félicite l’ensemble des parties prenantes du processus, les experts nationaux, les partenaires techniques et financiers et tous ceux qui ont contribué à la production </w:t>
      </w:r>
      <w:r w:rsidR="00A6588E" w:rsidRPr="0044670F">
        <w:rPr>
          <w:lang w:eastAsia="en-US"/>
        </w:rPr>
        <w:t xml:space="preserve">du présent </w:t>
      </w:r>
      <w:r w:rsidRPr="0044670F">
        <w:rPr>
          <w:lang w:eastAsia="en-US"/>
        </w:rPr>
        <w:t xml:space="preserve"> rapport des CS.</w:t>
      </w:r>
    </w:p>
    <w:p w:rsidR="006E2F4C" w:rsidRPr="0044670F" w:rsidRDefault="006E2F4C" w:rsidP="00587784">
      <w:pPr>
        <w:spacing w:line="312" w:lineRule="auto"/>
        <w:rPr>
          <w:lang w:eastAsia="en-US"/>
        </w:rPr>
      </w:pPr>
      <w:r w:rsidRPr="00741914">
        <w:rPr>
          <w:lang w:eastAsia="en-US"/>
        </w:rPr>
        <w:t xml:space="preserve">Nos remerciements s’adressent particulièrement à l’Organisation </w:t>
      </w:r>
      <w:r w:rsidR="00BF352F" w:rsidRPr="00741914">
        <w:rPr>
          <w:lang w:eastAsia="en-US"/>
        </w:rPr>
        <w:t>M</w:t>
      </w:r>
      <w:r w:rsidRPr="00741914">
        <w:rPr>
          <w:lang w:eastAsia="en-US"/>
        </w:rPr>
        <w:t xml:space="preserve">ondiale de la </w:t>
      </w:r>
      <w:r w:rsidR="00BF352F" w:rsidRPr="00741914">
        <w:rPr>
          <w:lang w:eastAsia="en-US"/>
        </w:rPr>
        <w:t>S</w:t>
      </w:r>
      <w:r w:rsidRPr="00741914">
        <w:rPr>
          <w:lang w:eastAsia="en-US"/>
        </w:rPr>
        <w:t xml:space="preserve">anté, au Fonds des Nations Unies pour la Population pour </w:t>
      </w:r>
      <w:r w:rsidR="00A6588E" w:rsidRPr="00741914">
        <w:rPr>
          <w:lang w:eastAsia="en-US"/>
        </w:rPr>
        <w:t xml:space="preserve">les </w:t>
      </w:r>
      <w:r w:rsidRPr="00741914">
        <w:rPr>
          <w:lang w:eastAsia="en-US"/>
        </w:rPr>
        <w:t xml:space="preserve">efforts </w:t>
      </w:r>
      <w:r w:rsidR="00A6588E" w:rsidRPr="00741914">
        <w:rPr>
          <w:lang w:eastAsia="en-US"/>
        </w:rPr>
        <w:t xml:space="preserve">techniques et financiers </w:t>
      </w:r>
      <w:r w:rsidRPr="00741914">
        <w:rPr>
          <w:lang w:eastAsia="en-US"/>
        </w:rPr>
        <w:t>cons</w:t>
      </w:r>
      <w:r w:rsidR="00A6588E" w:rsidRPr="00741914">
        <w:rPr>
          <w:lang w:eastAsia="en-US"/>
        </w:rPr>
        <w:t>en</w:t>
      </w:r>
      <w:r w:rsidRPr="00741914">
        <w:rPr>
          <w:lang w:eastAsia="en-US"/>
        </w:rPr>
        <w:t>t</w:t>
      </w:r>
      <w:r w:rsidR="00A6588E" w:rsidRPr="00741914">
        <w:rPr>
          <w:lang w:eastAsia="en-US"/>
        </w:rPr>
        <w:t>i</w:t>
      </w:r>
      <w:r w:rsidRPr="00741914">
        <w:rPr>
          <w:lang w:eastAsia="en-US"/>
        </w:rPr>
        <w:t xml:space="preserve">s </w:t>
      </w:r>
      <w:r w:rsidR="00A6588E" w:rsidRPr="00741914">
        <w:rPr>
          <w:lang w:eastAsia="en-US"/>
        </w:rPr>
        <w:t>pour</w:t>
      </w:r>
      <w:r w:rsidRPr="00741914">
        <w:rPr>
          <w:lang w:eastAsia="en-US"/>
        </w:rPr>
        <w:t xml:space="preserve"> nous accompagner dans cet exercice.</w:t>
      </w:r>
    </w:p>
    <w:p w:rsidR="006E2F4C" w:rsidRPr="0044670F" w:rsidRDefault="00A6588E" w:rsidP="00587784">
      <w:pPr>
        <w:spacing w:line="312" w:lineRule="auto"/>
        <w:rPr>
          <w:lang w:eastAsia="en-US"/>
        </w:rPr>
      </w:pPr>
      <w:r w:rsidRPr="0044670F">
        <w:rPr>
          <w:lang w:eastAsia="en-US"/>
        </w:rPr>
        <w:t xml:space="preserve"> J’invite tous ceux qui s’intéressent aux questions de financement de la santé à faire une exploitation judicieuse de ce document et à apporter toute contribution dans le sens d’enrichir son contenu.</w:t>
      </w: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2480B">
      <w:pPr>
        <w:spacing w:line="312" w:lineRule="auto"/>
        <w:jc w:val="right"/>
        <w:rPr>
          <w:lang w:eastAsia="en-US"/>
        </w:rPr>
      </w:pPr>
      <w:r w:rsidRPr="0044670F">
        <w:rPr>
          <w:lang w:eastAsia="en-US"/>
        </w:rPr>
        <w:t xml:space="preserve"> Ministre de la Santé et de l’Hygiène Publique</w:t>
      </w: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Default="006E2F4C" w:rsidP="00587784">
      <w:pPr>
        <w:spacing w:line="312" w:lineRule="auto"/>
        <w:rPr>
          <w:lang w:eastAsia="en-US"/>
        </w:rPr>
      </w:pPr>
    </w:p>
    <w:p w:rsidR="00570ACA" w:rsidRDefault="00570ACA" w:rsidP="00587784">
      <w:pPr>
        <w:spacing w:line="312" w:lineRule="auto"/>
        <w:rPr>
          <w:lang w:eastAsia="en-US"/>
        </w:rPr>
      </w:pPr>
    </w:p>
    <w:p w:rsidR="00570ACA" w:rsidRDefault="00570ACA" w:rsidP="00587784">
      <w:pPr>
        <w:spacing w:line="312" w:lineRule="auto"/>
        <w:rPr>
          <w:lang w:eastAsia="en-US"/>
        </w:rPr>
      </w:pPr>
    </w:p>
    <w:p w:rsidR="006E2F4C" w:rsidRPr="0044670F" w:rsidRDefault="006E2F4C" w:rsidP="00587784">
      <w:pPr>
        <w:spacing w:line="312" w:lineRule="auto"/>
        <w:rPr>
          <w:lang w:eastAsia="en-US"/>
        </w:rPr>
      </w:pPr>
    </w:p>
    <w:p w:rsidR="00C96BBC" w:rsidRDefault="00C96BBC" w:rsidP="00302D13">
      <w:pPr>
        <w:pStyle w:val="Titre1"/>
        <w:ind w:left="720" w:hanging="360"/>
      </w:pPr>
      <w:bookmarkStart w:id="4" w:name="_Toc413941202"/>
      <w:r>
        <w:t>Remerciements</w:t>
      </w:r>
      <w:bookmarkEnd w:id="4"/>
    </w:p>
    <w:p w:rsidR="00066728" w:rsidRPr="00E03D08" w:rsidRDefault="00066728" w:rsidP="00066728">
      <w:pPr>
        <w:spacing w:after="0"/>
      </w:pPr>
      <w:r w:rsidRPr="00E03D08">
        <w:t>La présente édition des comptes de la santé  a été réalisée par une équipe technique composé</w:t>
      </w:r>
      <w:r w:rsidR="00D9342E">
        <w:t>e</w:t>
      </w:r>
      <w:r w:rsidRPr="00E03D08">
        <w:t xml:space="preserve"> de cadres de la Cellule de Planification et de Statistique du Secteur Santé, Développement Social et Promotion de la Famille, de l’Institut National de Recherche en Santé Publique, de l’Institut National de la Statistique, des Directions de</w:t>
      </w:r>
      <w:r w:rsidR="00D9342E">
        <w:t>s</w:t>
      </w:r>
      <w:r w:rsidRPr="00E03D08">
        <w:t xml:space="preserve"> Finances et du Matériel du Ministère de la Santé et de l’Hygiène Publique, du Ministère de la Solidarité, de l’Action Humanitaire et de la Reconstruction du Nord et du Ministère de la Femme, de l’enfant et de la Famille et de la Direction Générale du Budget.</w:t>
      </w:r>
    </w:p>
    <w:p w:rsidR="00066728" w:rsidRPr="00E03D08" w:rsidRDefault="00066728" w:rsidP="00066728">
      <w:pPr>
        <w:spacing w:after="0"/>
      </w:pPr>
      <w:r w:rsidRPr="00E03D08">
        <w:t>Cette édition des</w:t>
      </w:r>
      <w:r w:rsidR="00D9342E">
        <w:t xml:space="preserve"> Comptes de la Santé(</w:t>
      </w:r>
      <w:r w:rsidRPr="00E03D08">
        <w:t>CS</w:t>
      </w:r>
      <w:r w:rsidR="00D9342E">
        <w:t>)</w:t>
      </w:r>
      <w:r w:rsidRPr="00E03D08">
        <w:t xml:space="preserve"> a été financée par le Gouvernement du Mali, l’Organisation Mondiale de la </w:t>
      </w:r>
      <w:r w:rsidR="00BB2D65">
        <w:t>S</w:t>
      </w:r>
      <w:r w:rsidRPr="00E03D08">
        <w:t>anté (OMS) et le Fonds</w:t>
      </w:r>
      <w:r w:rsidR="00601BBE">
        <w:t xml:space="preserve"> des Nations Unies pour la Population (UNFPA)</w:t>
      </w:r>
      <w:r w:rsidRPr="00E03D08">
        <w:t xml:space="preserve">. </w:t>
      </w:r>
      <w:r>
        <w:t>Elle a</w:t>
      </w:r>
      <w:r w:rsidRPr="00E03D08">
        <w:t xml:space="preserve"> aussi bénéficié de l’assistance technique de l’OMS.</w:t>
      </w:r>
    </w:p>
    <w:p w:rsidR="00066728" w:rsidRDefault="00066728" w:rsidP="00066728">
      <w:pPr>
        <w:spacing w:after="0"/>
      </w:pPr>
      <w:r w:rsidRPr="00E03D08">
        <w:t>Grâce à la synergie d’action</w:t>
      </w:r>
      <w:r w:rsidR="00BB2D65">
        <w:t>s</w:t>
      </w:r>
      <w:r w:rsidRPr="00E03D08">
        <w:t xml:space="preserve">  et la franche collaboration des personnes ressources, des agences et des institutions partenaires, la présente édition a pu être conduite malgré les multiples difficultés. Nous saisissons cette occasion pour adresser nos remerciements :</w:t>
      </w:r>
    </w:p>
    <w:p w:rsidR="00066728" w:rsidRPr="00095180" w:rsidRDefault="00066728" w:rsidP="00066728">
      <w:pPr>
        <w:pStyle w:val="Paragraphedeliste"/>
        <w:numPr>
          <w:ilvl w:val="0"/>
          <w:numId w:val="26"/>
        </w:numPr>
        <w:spacing w:after="0"/>
        <w:ind w:left="426"/>
      </w:pPr>
      <w:r w:rsidRPr="00095180">
        <w:t>Aux bailleurs de fonds du système de santé, aux organisations non gouvernementales (ONG), aux entreprises qui ont accepté de mettre les données sur leurs dépenses de santé</w:t>
      </w:r>
      <w:r w:rsidR="00D9342E">
        <w:t>,</w:t>
      </w:r>
      <w:r w:rsidRPr="00095180">
        <w:t xml:space="preserve"> à la disposition de l’équipe technique d’élaboration des comptes de la santé ; </w:t>
      </w:r>
    </w:p>
    <w:p w:rsidR="00066728" w:rsidRPr="00095180" w:rsidRDefault="00066728" w:rsidP="00066728">
      <w:pPr>
        <w:pStyle w:val="Paragraphedeliste"/>
        <w:numPr>
          <w:ilvl w:val="0"/>
          <w:numId w:val="26"/>
        </w:numPr>
        <w:spacing w:after="0"/>
        <w:ind w:left="426"/>
      </w:pPr>
      <w:r w:rsidRPr="00095180">
        <w:t>Aux agents enquêteurs de la collecte des données ;</w:t>
      </w:r>
    </w:p>
    <w:p w:rsidR="00066728" w:rsidRDefault="00066728" w:rsidP="00066728">
      <w:pPr>
        <w:spacing w:after="0"/>
      </w:pPr>
      <w:r w:rsidRPr="00095180">
        <w:t xml:space="preserve">Notre reconnaissance et notre profonde gratitude à </w:t>
      </w:r>
      <w:r w:rsidR="009368AD">
        <w:t>l’équipe d’appui inter-pays de l’OMS pour avoir mis à notre disposition un consultant à fin</w:t>
      </w:r>
      <w:r w:rsidR="000E3B04">
        <w:t xml:space="preserve"> </w:t>
      </w:r>
      <w:r w:rsidR="009368AD">
        <w:t>d’</w:t>
      </w:r>
      <w:r w:rsidRPr="00095180">
        <w:t xml:space="preserve">appuyer l’équipe technique </w:t>
      </w:r>
      <w:r>
        <w:t>à la</w:t>
      </w:r>
      <w:r w:rsidR="000E3B04">
        <w:t xml:space="preserve"> </w:t>
      </w:r>
      <w:r w:rsidRPr="00095180">
        <w:t xml:space="preserve">phase complémentaire d’analyse des comptes de la santé. Nos remerciements </w:t>
      </w:r>
      <w:r w:rsidR="006E21D4">
        <w:t>à tous les</w:t>
      </w:r>
      <w:r w:rsidRPr="00095180">
        <w:t xml:space="preserve"> partenaires techniques et financiers qui nous ont accompagné et soutenu de façon constante, au cours de cette opération. Il s’agit </w:t>
      </w:r>
      <w:r w:rsidR="00D9342E">
        <w:t xml:space="preserve">de </w:t>
      </w:r>
      <w:r w:rsidRPr="00095180">
        <w:t>l’OMS et de l’UNFPA. Enfin, nos sincères remerciements à tous ceux qui de près ou de loin ont contribué à la réussite de cette édition des comptes de la santé.</w:t>
      </w:r>
    </w:p>
    <w:p w:rsidR="00D9342E" w:rsidRDefault="00D9342E" w:rsidP="00D9342E">
      <w:pPr>
        <w:spacing w:after="0"/>
        <w:jc w:val="right"/>
      </w:pPr>
    </w:p>
    <w:p w:rsidR="00D9342E" w:rsidRDefault="00D9342E" w:rsidP="00D9342E">
      <w:pPr>
        <w:spacing w:after="0"/>
        <w:jc w:val="right"/>
      </w:pPr>
    </w:p>
    <w:p w:rsidR="00066728" w:rsidRPr="00095180" w:rsidRDefault="00066728" w:rsidP="00D9342E">
      <w:pPr>
        <w:spacing w:after="0"/>
        <w:jc w:val="right"/>
      </w:pPr>
      <w:r>
        <w:t>Le Directeur de la CPS/ SS DS PF</w:t>
      </w:r>
    </w:p>
    <w:p w:rsidR="00352D08" w:rsidRDefault="00352D08">
      <w:pPr>
        <w:autoSpaceDE/>
        <w:autoSpaceDN/>
        <w:adjustRightInd/>
        <w:spacing w:after="200" w:line="276" w:lineRule="auto"/>
        <w:jc w:val="left"/>
      </w:pPr>
      <w:r>
        <w:br w:type="page"/>
      </w:r>
    </w:p>
    <w:p w:rsidR="00237988" w:rsidRDefault="00237988" w:rsidP="00237988">
      <w:pPr>
        <w:pStyle w:val="Titre1"/>
        <w:ind w:left="720"/>
      </w:pPr>
      <w:bookmarkStart w:id="5" w:name="_Toc413941203"/>
      <w:r>
        <w:t>Sigles et abréviations</w:t>
      </w:r>
      <w:bookmarkEnd w:id="5"/>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AMO :</w:t>
      </w:r>
      <w:r w:rsidRPr="00237988">
        <w:rPr>
          <w:rFonts w:eastAsia="SimSun"/>
          <w:bCs w:val="0"/>
          <w:color w:val="auto"/>
        </w:rPr>
        <w:tab/>
      </w:r>
      <w:r w:rsidRPr="00237988">
        <w:rPr>
          <w:rFonts w:eastAsia="SimSun"/>
          <w:bCs w:val="0"/>
          <w:color w:val="auto"/>
        </w:rPr>
        <w:tab/>
      </w:r>
      <w:r w:rsidRPr="00237988">
        <w:rPr>
          <w:rFonts w:eastAsia="SimSun"/>
          <w:bCs w:val="0"/>
          <w:color w:val="auto"/>
        </w:rPr>
        <w:tab/>
        <w:t>Assurance Maladie Obligatoire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ANAM :</w:t>
      </w:r>
      <w:r w:rsidRPr="00237988">
        <w:rPr>
          <w:rFonts w:eastAsia="SimSun"/>
          <w:bCs w:val="0"/>
          <w:color w:val="auto"/>
        </w:rPr>
        <w:tab/>
      </w:r>
      <w:r w:rsidRPr="00237988">
        <w:rPr>
          <w:rFonts w:eastAsia="SimSun"/>
          <w:bCs w:val="0"/>
          <w:color w:val="auto"/>
        </w:rPr>
        <w:tab/>
        <w:t xml:space="preserve">Agence Nationale d’Assurance Maladie </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ARV :</w:t>
      </w:r>
      <w:r w:rsidRPr="00237988">
        <w:rPr>
          <w:rFonts w:eastAsia="SimSun"/>
          <w:bCs w:val="0"/>
          <w:color w:val="auto"/>
        </w:rPr>
        <w:tab/>
      </w:r>
      <w:r w:rsidRPr="00237988">
        <w:rPr>
          <w:rFonts w:eastAsia="SimSun"/>
          <w:bCs w:val="0"/>
          <w:color w:val="auto"/>
        </w:rPr>
        <w:tab/>
      </w:r>
      <w:r w:rsidRPr="00237988">
        <w:rPr>
          <w:rFonts w:eastAsia="SimSun"/>
          <w:bCs w:val="0"/>
          <w:color w:val="auto"/>
        </w:rPr>
        <w:tab/>
        <w:t>Antirétroviraux</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ASACO :</w:t>
      </w:r>
      <w:r w:rsidRPr="00237988">
        <w:rPr>
          <w:rFonts w:eastAsia="SimSun"/>
          <w:bCs w:val="0"/>
          <w:color w:val="auto"/>
        </w:rPr>
        <w:tab/>
      </w:r>
      <w:r w:rsidRPr="00237988">
        <w:rPr>
          <w:rFonts w:eastAsia="SimSun"/>
          <w:bCs w:val="0"/>
          <w:color w:val="auto"/>
        </w:rPr>
        <w:tab/>
        <w:t>Association de Santé Communautaire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CANAM :</w:t>
      </w:r>
      <w:r w:rsidRPr="00237988">
        <w:rPr>
          <w:rFonts w:eastAsia="SimSun"/>
          <w:bCs w:val="0"/>
          <w:color w:val="auto"/>
        </w:rPr>
        <w:tab/>
      </w:r>
      <w:r w:rsidRPr="00237988">
        <w:rPr>
          <w:rFonts w:eastAsia="SimSun"/>
          <w:bCs w:val="0"/>
          <w:color w:val="auto"/>
        </w:rPr>
        <w:tab/>
        <w:t>Caisse Nationale d’Assurance Maladie</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CDV :</w:t>
      </w:r>
      <w:r w:rsidRPr="00237988">
        <w:rPr>
          <w:bCs w:val="0"/>
          <w:color w:val="auto"/>
          <w:lang w:eastAsia="en-US"/>
        </w:rPr>
        <w:tab/>
      </w:r>
      <w:r w:rsidRPr="00237988">
        <w:rPr>
          <w:bCs w:val="0"/>
          <w:color w:val="auto"/>
          <w:lang w:eastAsia="en-US"/>
        </w:rPr>
        <w:tab/>
      </w:r>
      <w:r w:rsidRPr="00237988">
        <w:rPr>
          <w:bCs w:val="0"/>
          <w:color w:val="auto"/>
          <w:lang w:eastAsia="en-US"/>
        </w:rPr>
        <w:tab/>
        <w:t>Conseil de Dépistage Volontaire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CHU :</w:t>
      </w:r>
      <w:r w:rsidRPr="00237988">
        <w:rPr>
          <w:rFonts w:eastAsia="SimSun"/>
          <w:bCs w:val="0"/>
          <w:color w:val="auto"/>
        </w:rPr>
        <w:tab/>
      </w:r>
      <w:r w:rsidRPr="00237988">
        <w:rPr>
          <w:rFonts w:eastAsia="SimSun"/>
          <w:bCs w:val="0"/>
          <w:color w:val="auto"/>
        </w:rPr>
        <w:tab/>
      </w:r>
      <w:r w:rsidRPr="00237988">
        <w:rPr>
          <w:rFonts w:eastAsia="SimSun"/>
          <w:bCs w:val="0"/>
          <w:color w:val="auto"/>
        </w:rPr>
        <w:tab/>
        <w:t>Centre Hospitalier Universitaire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CNOS :</w:t>
      </w:r>
      <w:r w:rsidRPr="00237988">
        <w:rPr>
          <w:rFonts w:eastAsia="SimSun"/>
          <w:bCs w:val="0"/>
          <w:color w:val="auto"/>
        </w:rPr>
        <w:tab/>
      </w:r>
      <w:r w:rsidRPr="00237988">
        <w:rPr>
          <w:rFonts w:eastAsia="SimSun"/>
          <w:bCs w:val="0"/>
          <w:color w:val="auto"/>
        </w:rPr>
        <w:tab/>
        <w:t xml:space="preserve">Centre National d’Odontostomatologie </w:t>
      </w:r>
    </w:p>
    <w:p w:rsidR="00237988" w:rsidRPr="00237988" w:rsidRDefault="00237988" w:rsidP="00237988">
      <w:pPr>
        <w:autoSpaceDE/>
        <w:autoSpaceDN/>
        <w:adjustRightInd/>
        <w:spacing w:after="0"/>
        <w:jc w:val="left"/>
        <w:rPr>
          <w:rFonts w:eastAsia="SimSun"/>
          <w:bCs w:val="0"/>
          <w:color w:val="auto"/>
          <w:lang w:val="fr-SN"/>
        </w:rPr>
      </w:pPr>
      <w:r w:rsidRPr="00237988">
        <w:rPr>
          <w:rFonts w:eastAsia="SimSun"/>
          <w:bCs w:val="0"/>
          <w:color w:val="auto"/>
          <w:lang w:val="fr-SN"/>
        </w:rPr>
        <w:t>CNS :</w:t>
      </w:r>
      <w:r w:rsidRPr="00237988">
        <w:rPr>
          <w:rFonts w:eastAsia="SimSun"/>
          <w:bCs w:val="0"/>
          <w:color w:val="auto"/>
          <w:lang w:val="fr-SN"/>
        </w:rPr>
        <w:tab/>
      </w:r>
      <w:r w:rsidRPr="00237988">
        <w:rPr>
          <w:rFonts w:eastAsia="SimSun"/>
          <w:bCs w:val="0"/>
          <w:color w:val="auto"/>
          <w:lang w:val="fr-SN"/>
        </w:rPr>
        <w:tab/>
      </w:r>
      <w:r w:rsidRPr="00237988">
        <w:rPr>
          <w:rFonts w:eastAsia="SimSun"/>
          <w:bCs w:val="0"/>
          <w:color w:val="auto"/>
          <w:lang w:val="fr-SN"/>
        </w:rPr>
        <w:tab/>
      </w:r>
      <w:r w:rsidRPr="00CA0129">
        <w:rPr>
          <w:rFonts w:eastAsia="SimSun"/>
          <w:bCs w:val="0"/>
          <w:color w:val="auto"/>
          <w:lang w:val="fr-SN"/>
        </w:rPr>
        <w:t>Comptes Nationaux de la Santé</w:t>
      </w:r>
    </w:p>
    <w:p w:rsidR="00237988" w:rsidRPr="00237988" w:rsidRDefault="00237988" w:rsidP="00237988">
      <w:pPr>
        <w:autoSpaceDE/>
        <w:autoSpaceDN/>
        <w:adjustRightInd/>
        <w:spacing w:after="0"/>
        <w:jc w:val="left"/>
        <w:rPr>
          <w:rFonts w:eastAsia="Arial Unicode MS"/>
          <w:bCs w:val="0"/>
          <w:color w:val="auto"/>
          <w:lang w:eastAsia="en-US"/>
        </w:rPr>
      </w:pPr>
      <w:r w:rsidRPr="00237988">
        <w:rPr>
          <w:rFonts w:eastAsia="Arial Unicode MS"/>
          <w:bCs w:val="0"/>
          <w:color w:val="auto"/>
          <w:lang w:eastAsia="en-US"/>
        </w:rPr>
        <w:t>CPN :</w:t>
      </w:r>
      <w:r w:rsidRPr="00237988">
        <w:rPr>
          <w:rFonts w:eastAsia="Arial Unicode MS"/>
          <w:bCs w:val="0"/>
          <w:color w:val="auto"/>
          <w:lang w:eastAsia="en-US"/>
        </w:rPr>
        <w:tab/>
      </w:r>
      <w:r w:rsidRPr="00237988">
        <w:rPr>
          <w:rFonts w:eastAsia="Arial Unicode MS"/>
          <w:bCs w:val="0"/>
          <w:color w:val="auto"/>
          <w:lang w:eastAsia="en-US"/>
        </w:rPr>
        <w:tab/>
      </w:r>
      <w:r w:rsidRPr="00237988">
        <w:rPr>
          <w:rFonts w:eastAsia="Arial Unicode MS"/>
          <w:bCs w:val="0"/>
          <w:color w:val="auto"/>
          <w:lang w:eastAsia="en-US"/>
        </w:rPr>
        <w:tab/>
        <w:t>Consultation Prénatale</w:t>
      </w:r>
    </w:p>
    <w:p w:rsidR="00237988" w:rsidRPr="00237988" w:rsidRDefault="00237988" w:rsidP="00237988">
      <w:pPr>
        <w:autoSpaceDE/>
        <w:autoSpaceDN/>
        <w:adjustRightInd/>
        <w:spacing w:after="0"/>
        <w:ind w:left="2124" w:hanging="2124"/>
        <w:jc w:val="left"/>
        <w:rPr>
          <w:bCs w:val="0"/>
          <w:color w:val="auto"/>
          <w:lang w:eastAsia="en-US"/>
        </w:rPr>
      </w:pPr>
      <w:r w:rsidRPr="00237988">
        <w:rPr>
          <w:bCs w:val="0"/>
          <w:color w:val="auto"/>
          <w:lang w:eastAsia="en-US"/>
        </w:rPr>
        <w:t>CPS/ SS DS PF :</w:t>
      </w:r>
      <w:r w:rsidRPr="00237988">
        <w:rPr>
          <w:bCs w:val="0"/>
          <w:color w:val="auto"/>
          <w:lang w:eastAsia="en-US"/>
        </w:rPr>
        <w:tab/>
        <w:t>Cellule de Planification et de Statistique du Secteur Santé, Développement Social et Promotion de la Famille</w:t>
      </w:r>
      <w:r w:rsidRPr="00237988">
        <w:rPr>
          <w:bCs w:val="0"/>
          <w:color w:val="auto"/>
          <w:lang w:eastAsia="en-US"/>
        </w:rPr>
        <w:tab/>
      </w:r>
    </w:p>
    <w:p w:rsidR="00237988" w:rsidRPr="00237988" w:rsidRDefault="00237988" w:rsidP="00237988">
      <w:pPr>
        <w:autoSpaceDE/>
        <w:autoSpaceDN/>
        <w:adjustRightInd/>
        <w:spacing w:after="0"/>
        <w:ind w:left="2124" w:hanging="2124"/>
        <w:jc w:val="left"/>
        <w:rPr>
          <w:rFonts w:eastAsia="SimSun"/>
          <w:bCs w:val="0"/>
          <w:color w:val="auto"/>
        </w:rPr>
      </w:pPr>
      <w:r w:rsidRPr="00237988">
        <w:rPr>
          <w:rFonts w:eastAsia="SimSun"/>
          <w:bCs w:val="0"/>
          <w:color w:val="auto"/>
        </w:rPr>
        <w:t>CROCEP :</w:t>
      </w:r>
      <w:r w:rsidRPr="00237988">
        <w:rPr>
          <w:rFonts w:eastAsia="SimSun"/>
          <w:bCs w:val="0"/>
          <w:color w:val="auto"/>
        </w:rPr>
        <w:tab/>
        <w:t xml:space="preserve">Comité Régional d’Orientation, de Coordination et d’Evaluation du PRODESS </w:t>
      </w:r>
    </w:p>
    <w:p w:rsidR="00237988" w:rsidRPr="00237988" w:rsidRDefault="00237988" w:rsidP="00237988">
      <w:pPr>
        <w:autoSpaceDE/>
        <w:autoSpaceDN/>
        <w:adjustRightInd/>
        <w:spacing w:after="0"/>
        <w:jc w:val="left"/>
        <w:rPr>
          <w:rFonts w:eastAsiaTheme="minorHAnsi"/>
          <w:bCs w:val="0"/>
          <w:color w:val="auto"/>
          <w:lang w:eastAsia="en-US"/>
        </w:rPr>
      </w:pPr>
      <w:r w:rsidRPr="00237988">
        <w:rPr>
          <w:rFonts w:eastAsiaTheme="minorHAnsi"/>
          <w:bCs w:val="0"/>
          <w:color w:val="auto"/>
          <w:lang w:eastAsia="en-US"/>
        </w:rPr>
        <w:t>CS :</w:t>
      </w:r>
      <w:r w:rsidRPr="00237988">
        <w:rPr>
          <w:rFonts w:eastAsiaTheme="minorHAnsi"/>
          <w:bCs w:val="0"/>
          <w:color w:val="auto"/>
          <w:lang w:eastAsia="en-US"/>
        </w:rPr>
        <w:tab/>
      </w:r>
      <w:r w:rsidRPr="00237988">
        <w:rPr>
          <w:rFonts w:eastAsiaTheme="minorHAnsi"/>
          <w:bCs w:val="0"/>
          <w:color w:val="auto"/>
          <w:lang w:eastAsia="en-US"/>
        </w:rPr>
        <w:tab/>
      </w:r>
      <w:r w:rsidRPr="00237988">
        <w:rPr>
          <w:rFonts w:eastAsiaTheme="minorHAnsi"/>
          <w:bCs w:val="0"/>
          <w:color w:val="auto"/>
          <w:lang w:eastAsia="en-US"/>
        </w:rPr>
        <w:tab/>
        <w:t>Comptes de la Santé</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CSCom :</w:t>
      </w:r>
      <w:r w:rsidRPr="00237988">
        <w:rPr>
          <w:rFonts w:eastAsia="SimSun"/>
          <w:bCs w:val="0"/>
          <w:color w:val="auto"/>
        </w:rPr>
        <w:tab/>
      </w:r>
      <w:r w:rsidRPr="00237988">
        <w:rPr>
          <w:rFonts w:eastAsia="SimSun"/>
          <w:bCs w:val="0"/>
          <w:color w:val="auto"/>
        </w:rPr>
        <w:tab/>
        <w:t xml:space="preserve">Centre de Santé Communautaire </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CSCRP :</w:t>
      </w:r>
      <w:r w:rsidRPr="00237988">
        <w:rPr>
          <w:rFonts w:eastAsia="SimSun"/>
          <w:bCs w:val="0"/>
          <w:color w:val="auto"/>
        </w:rPr>
        <w:tab/>
      </w:r>
      <w:r w:rsidRPr="00237988">
        <w:rPr>
          <w:rFonts w:eastAsia="SimSun"/>
          <w:bCs w:val="0"/>
          <w:color w:val="auto"/>
        </w:rPr>
        <w:tab/>
        <w:t xml:space="preserve">Cadre de Stratégie pour la Croissance et la Réduction de la Pauvreté </w:t>
      </w:r>
    </w:p>
    <w:p w:rsidR="00237988" w:rsidRPr="00237988" w:rsidRDefault="00237988" w:rsidP="00237988">
      <w:pPr>
        <w:autoSpaceDE/>
        <w:autoSpaceDN/>
        <w:adjustRightInd/>
        <w:spacing w:after="0"/>
        <w:jc w:val="left"/>
        <w:rPr>
          <w:rFonts w:eastAsia="Arial Unicode MS"/>
          <w:bCs w:val="0"/>
          <w:color w:val="auto"/>
          <w:lang w:eastAsia="en-US"/>
        </w:rPr>
      </w:pPr>
      <w:r w:rsidRPr="00237988">
        <w:rPr>
          <w:bCs w:val="0"/>
          <w:color w:val="auto"/>
          <w:lang w:eastAsia="en-US"/>
        </w:rPr>
        <w:t>CSLS :</w:t>
      </w:r>
      <w:r w:rsidRPr="00237988">
        <w:rPr>
          <w:bCs w:val="0"/>
          <w:color w:val="auto"/>
          <w:lang w:eastAsia="en-US"/>
        </w:rPr>
        <w:tab/>
      </w:r>
      <w:r w:rsidRPr="00237988">
        <w:rPr>
          <w:bCs w:val="0"/>
          <w:color w:val="auto"/>
          <w:lang w:eastAsia="en-US"/>
        </w:rPr>
        <w:tab/>
      </w:r>
      <w:r w:rsidRPr="00237988">
        <w:rPr>
          <w:bCs w:val="0"/>
          <w:color w:val="auto"/>
          <w:lang w:eastAsia="en-US"/>
        </w:rPr>
        <w:tab/>
        <w:t>Cellule Sectorielle de Lutte contre le Sida</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CSRéf :</w:t>
      </w:r>
      <w:r w:rsidRPr="00237988">
        <w:rPr>
          <w:rFonts w:eastAsia="SimSun"/>
          <w:bCs w:val="0"/>
          <w:color w:val="auto"/>
        </w:rPr>
        <w:tab/>
      </w:r>
      <w:r w:rsidRPr="00237988">
        <w:rPr>
          <w:rFonts w:eastAsia="SimSun"/>
          <w:bCs w:val="0"/>
          <w:color w:val="auto"/>
        </w:rPr>
        <w:tab/>
        <w:t>Centre de Santé de Référence</w:t>
      </w:r>
    </w:p>
    <w:p w:rsidR="00237988" w:rsidRPr="00237988" w:rsidRDefault="00237988" w:rsidP="00237988">
      <w:pPr>
        <w:autoSpaceDE/>
        <w:autoSpaceDN/>
        <w:adjustRightInd/>
        <w:spacing w:after="0"/>
        <w:jc w:val="left"/>
        <w:rPr>
          <w:lang w:eastAsia="en-US"/>
        </w:rPr>
      </w:pPr>
      <w:r w:rsidRPr="00237988">
        <w:rPr>
          <w:lang w:eastAsia="en-US"/>
        </w:rPr>
        <w:t>DCS :</w:t>
      </w:r>
      <w:r w:rsidRPr="00237988">
        <w:rPr>
          <w:lang w:eastAsia="en-US"/>
        </w:rPr>
        <w:tab/>
      </w:r>
      <w:r w:rsidRPr="00237988">
        <w:rPr>
          <w:lang w:eastAsia="en-US"/>
        </w:rPr>
        <w:tab/>
      </w:r>
      <w:r w:rsidRPr="00237988">
        <w:rPr>
          <w:lang w:eastAsia="en-US"/>
        </w:rPr>
        <w:tab/>
        <w:t xml:space="preserve">Dépenses Courantes de Santé </w:t>
      </w:r>
    </w:p>
    <w:p w:rsidR="00237988" w:rsidRPr="00237988" w:rsidRDefault="00237988" w:rsidP="00237988">
      <w:pPr>
        <w:autoSpaceDE/>
        <w:autoSpaceDN/>
        <w:adjustRightInd/>
        <w:spacing w:after="0"/>
        <w:jc w:val="left"/>
        <w:rPr>
          <w:lang w:eastAsia="en-US"/>
        </w:rPr>
      </w:pPr>
      <w:r w:rsidRPr="00237988">
        <w:rPr>
          <w:rFonts w:eastAsia="SimSun"/>
          <w:bCs w:val="0"/>
          <w:color w:val="auto"/>
        </w:rPr>
        <w:t>DFM</w:t>
      </w:r>
      <w:r w:rsidRPr="00237988">
        <w:rPr>
          <w:lang w:eastAsia="en-US"/>
        </w:rPr>
        <w:t> :</w:t>
      </w:r>
      <w:r w:rsidRPr="00237988">
        <w:rPr>
          <w:lang w:eastAsia="en-US"/>
        </w:rPr>
        <w:tab/>
      </w:r>
      <w:r w:rsidRPr="00237988">
        <w:rPr>
          <w:lang w:eastAsia="en-US"/>
        </w:rPr>
        <w:tab/>
      </w:r>
      <w:r w:rsidRPr="00237988">
        <w:rPr>
          <w:lang w:eastAsia="en-US"/>
        </w:rPr>
        <w:tab/>
        <w:t>Direction de Finances et du Matériel</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DIS :</w:t>
      </w:r>
      <w:r w:rsidRPr="00237988">
        <w:rPr>
          <w:rFonts w:eastAsia="SimSun"/>
          <w:bCs w:val="0"/>
          <w:color w:val="auto"/>
        </w:rPr>
        <w:tab/>
      </w:r>
      <w:r w:rsidRPr="00237988">
        <w:rPr>
          <w:rFonts w:eastAsia="SimSun"/>
          <w:bCs w:val="0"/>
          <w:color w:val="auto"/>
        </w:rPr>
        <w:tab/>
      </w:r>
      <w:r w:rsidRPr="00237988">
        <w:rPr>
          <w:rFonts w:eastAsia="SimSun"/>
          <w:bCs w:val="0"/>
          <w:color w:val="auto"/>
        </w:rPr>
        <w:tab/>
        <w:t>Maladies et Affections de santé</w:t>
      </w:r>
    </w:p>
    <w:p w:rsidR="00237988" w:rsidRPr="00237988" w:rsidRDefault="00237988" w:rsidP="00237988">
      <w:pPr>
        <w:autoSpaceDE/>
        <w:autoSpaceDN/>
        <w:adjustRightInd/>
        <w:spacing w:after="0"/>
        <w:jc w:val="left"/>
        <w:rPr>
          <w:bCs w:val="0"/>
          <w:color w:val="auto"/>
          <w:lang w:eastAsia="en-US"/>
        </w:rPr>
      </w:pPr>
      <w:r w:rsidRPr="00237988">
        <w:rPr>
          <w:rFonts w:eastAsia="Times New Roman"/>
          <w:bCs w:val="0"/>
          <w:lang w:eastAsia="fr-FR"/>
        </w:rPr>
        <w:t>DPS :</w:t>
      </w:r>
      <w:r w:rsidRPr="00237988">
        <w:rPr>
          <w:bCs w:val="0"/>
          <w:color w:val="auto"/>
          <w:lang w:eastAsia="en-US"/>
        </w:rPr>
        <w:tab/>
      </w:r>
      <w:r w:rsidRPr="00237988">
        <w:rPr>
          <w:bCs w:val="0"/>
          <w:color w:val="auto"/>
          <w:lang w:eastAsia="en-US"/>
        </w:rPr>
        <w:tab/>
      </w:r>
      <w:r w:rsidRPr="00237988">
        <w:rPr>
          <w:bCs w:val="0"/>
          <w:color w:val="auto"/>
          <w:lang w:eastAsia="en-US"/>
        </w:rPr>
        <w:tab/>
      </w:r>
      <w:r w:rsidRPr="00237988">
        <w:rPr>
          <w:rFonts w:eastAsia="Times New Roman"/>
          <w:bCs w:val="0"/>
          <w:lang w:eastAsia="fr-FR"/>
        </w:rPr>
        <w:t>Domaines de Prestations de Services</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DRH :</w:t>
      </w:r>
      <w:r w:rsidRPr="00237988">
        <w:rPr>
          <w:rFonts w:eastAsia="SimSun"/>
          <w:bCs w:val="0"/>
          <w:color w:val="auto"/>
        </w:rPr>
        <w:tab/>
      </w:r>
      <w:r w:rsidRPr="00237988">
        <w:rPr>
          <w:rFonts w:eastAsia="SimSun"/>
          <w:bCs w:val="0"/>
          <w:color w:val="auto"/>
        </w:rPr>
        <w:tab/>
      </w:r>
      <w:r w:rsidRPr="00237988">
        <w:rPr>
          <w:rFonts w:eastAsia="SimSun"/>
          <w:bCs w:val="0"/>
          <w:color w:val="auto"/>
        </w:rPr>
        <w:tab/>
        <w:t>Direction des Ressources Humaines</w:t>
      </w:r>
    </w:p>
    <w:p w:rsidR="00237988" w:rsidRPr="00237988" w:rsidRDefault="00237988" w:rsidP="00237988">
      <w:pPr>
        <w:autoSpaceDE/>
        <w:autoSpaceDN/>
        <w:adjustRightInd/>
        <w:spacing w:after="0"/>
        <w:jc w:val="left"/>
        <w:rPr>
          <w:rFonts w:eastAsiaTheme="minorHAnsi"/>
          <w:bCs w:val="0"/>
          <w:color w:val="auto"/>
          <w:lang w:eastAsia="fr-FR"/>
        </w:rPr>
      </w:pPr>
      <w:r w:rsidRPr="00237988">
        <w:rPr>
          <w:rFonts w:eastAsiaTheme="minorHAnsi"/>
          <w:bCs w:val="0"/>
          <w:color w:val="auto"/>
          <w:lang w:eastAsia="fr-FR"/>
        </w:rPr>
        <w:t>DSSA :</w:t>
      </w:r>
      <w:r w:rsidRPr="00237988">
        <w:rPr>
          <w:rFonts w:eastAsiaTheme="minorHAnsi"/>
          <w:bCs w:val="0"/>
          <w:color w:val="auto"/>
          <w:lang w:eastAsia="fr-FR"/>
        </w:rPr>
        <w:tab/>
      </w:r>
      <w:r w:rsidRPr="00237988">
        <w:rPr>
          <w:rFonts w:eastAsiaTheme="minorHAnsi"/>
          <w:bCs w:val="0"/>
          <w:color w:val="auto"/>
          <w:lang w:eastAsia="fr-FR"/>
        </w:rPr>
        <w:tab/>
        <w:t xml:space="preserve">Direction du Service de Santé des Armées </w:t>
      </w:r>
    </w:p>
    <w:p w:rsidR="00237988" w:rsidRPr="00237988" w:rsidRDefault="00237988" w:rsidP="00237988">
      <w:pPr>
        <w:autoSpaceDE/>
        <w:autoSpaceDN/>
        <w:adjustRightInd/>
        <w:spacing w:after="0"/>
        <w:jc w:val="left"/>
        <w:rPr>
          <w:rFonts w:eastAsiaTheme="minorHAnsi"/>
          <w:bCs w:val="0"/>
          <w:color w:val="auto"/>
          <w:lang w:eastAsia="fr-FR"/>
        </w:rPr>
      </w:pPr>
      <w:r w:rsidRPr="00237988">
        <w:rPr>
          <w:bCs w:val="0"/>
          <w:lang w:eastAsia="en-US"/>
        </w:rPr>
        <w:t>DTS :</w:t>
      </w:r>
      <w:r w:rsidRPr="00237988">
        <w:rPr>
          <w:bCs w:val="0"/>
          <w:lang w:eastAsia="en-US"/>
        </w:rPr>
        <w:tab/>
      </w:r>
      <w:r w:rsidRPr="00237988">
        <w:rPr>
          <w:bCs w:val="0"/>
          <w:lang w:eastAsia="en-US"/>
        </w:rPr>
        <w:tab/>
      </w:r>
      <w:r w:rsidRPr="00237988">
        <w:rPr>
          <w:bCs w:val="0"/>
          <w:lang w:eastAsia="en-US"/>
        </w:rPr>
        <w:tab/>
      </w:r>
      <w:r w:rsidRPr="00237988">
        <w:rPr>
          <w:rFonts w:eastAsiaTheme="minorHAnsi"/>
          <w:bCs w:val="0"/>
          <w:color w:val="auto"/>
          <w:lang w:eastAsia="fr-FR"/>
        </w:rPr>
        <w:t>Dépenses Totales de Santé</w:t>
      </w:r>
    </w:p>
    <w:p w:rsidR="00237988" w:rsidRPr="00237988" w:rsidRDefault="00237988" w:rsidP="00237988">
      <w:pPr>
        <w:autoSpaceDE/>
        <w:autoSpaceDN/>
        <w:adjustRightInd/>
        <w:spacing w:after="0"/>
        <w:jc w:val="left"/>
        <w:rPr>
          <w:rFonts w:eastAsiaTheme="minorHAnsi"/>
          <w:bCs w:val="0"/>
          <w:color w:val="auto"/>
          <w:lang w:eastAsia="fr-FR"/>
        </w:rPr>
      </w:pPr>
      <w:r w:rsidRPr="00237988">
        <w:rPr>
          <w:rFonts w:eastAsiaTheme="minorHAnsi"/>
          <w:bCs w:val="0"/>
          <w:color w:val="auto"/>
          <w:lang w:eastAsia="fr-FR"/>
        </w:rPr>
        <w:t>EPH :</w:t>
      </w:r>
      <w:r w:rsidRPr="00237988">
        <w:rPr>
          <w:rFonts w:eastAsiaTheme="minorHAnsi"/>
          <w:bCs w:val="0"/>
          <w:color w:val="auto"/>
          <w:lang w:eastAsia="fr-FR"/>
        </w:rPr>
        <w:tab/>
      </w:r>
      <w:r w:rsidRPr="00237988">
        <w:rPr>
          <w:rFonts w:eastAsiaTheme="minorHAnsi"/>
          <w:bCs w:val="0"/>
          <w:color w:val="auto"/>
          <w:lang w:eastAsia="fr-FR"/>
        </w:rPr>
        <w:tab/>
      </w:r>
      <w:r w:rsidRPr="00237988">
        <w:rPr>
          <w:rFonts w:eastAsiaTheme="minorHAnsi"/>
          <w:bCs w:val="0"/>
          <w:color w:val="auto"/>
          <w:lang w:eastAsia="fr-FR"/>
        </w:rPr>
        <w:tab/>
        <w:t>Etablissement Public Hospitalier</w:t>
      </w:r>
    </w:p>
    <w:p w:rsidR="00237988" w:rsidRPr="00237988" w:rsidRDefault="00237988" w:rsidP="00237988">
      <w:pPr>
        <w:autoSpaceDE/>
        <w:autoSpaceDN/>
        <w:adjustRightInd/>
        <w:spacing w:after="0"/>
        <w:jc w:val="left"/>
        <w:rPr>
          <w:rFonts w:eastAsiaTheme="minorHAnsi"/>
          <w:bCs w:val="0"/>
          <w:color w:val="auto"/>
          <w:lang w:eastAsia="fr-FR"/>
        </w:rPr>
      </w:pPr>
      <w:r w:rsidRPr="00237988">
        <w:rPr>
          <w:rFonts w:eastAsiaTheme="minorHAnsi"/>
          <w:bCs w:val="0"/>
          <w:color w:val="auto"/>
          <w:lang w:eastAsia="fr-FR"/>
        </w:rPr>
        <w:t>FBR :</w:t>
      </w:r>
      <w:r w:rsidRPr="00237988">
        <w:rPr>
          <w:rFonts w:eastAsiaTheme="minorHAnsi"/>
          <w:bCs w:val="0"/>
          <w:color w:val="auto"/>
          <w:lang w:eastAsia="fr-FR"/>
        </w:rPr>
        <w:tab/>
      </w:r>
      <w:r w:rsidRPr="00237988">
        <w:rPr>
          <w:rFonts w:eastAsiaTheme="minorHAnsi"/>
          <w:bCs w:val="0"/>
          <w:color w:val="auto"/>
          <w:lang w:eastAsia="fr-FR"/>
        </w:rPr>
        <w:tab/>
      </w:r>
      <w:r w:rsidRPr="00237988">
        <w:rPr>
          <w:rFonts w:eastAsiaTheme="minorHAnsi"/>
          <w:bCs w:val="0"/>
          <w:color w:val="auto"/>
          <w:lang w:eastAsia="fr-FR"/>
        </w:rPr>
        <w:tab/>
        <w:t xml:space="preserve">Financement Basé sur les Résultats </w:t>
      </w:r>
    </w:p>
    <w:p w:rsidR="00237988" w:rsidRPr="00237988" w:rsidRDefault="00237988" w:rsidP="00237988">
      <w:pPr>
        <w:autoSpaceDE/>
        <w:autoSpaceDN/>
        <w:adjustRightInd/>
        <w:spacing w:after="0"/>
        <w:jc w:val="left"/>
        <w:rPr>
          <w:rFonts w:eastAsiaTheme="minorHAnsi"/>
          <w:bCs w:val="0"/>
          <w:color w:val="auto"/>
          <w:lang w:eastAsia="fr-FR"/>
        </w:rPr>
      </w:pPr>
      <w:r w:rsidRPr="00237988">
        <w:rPr>
          <w:rFonts w:eastAsiaTheme="minorHAnsi"/>
          <w:bCs w:val="0"/>
          <w:color w:val="auto"/>
          <w:lang w:eastAsia="fr-FR"/>
        </w:rPr>
        <w:t>FCFA :</w:t>
      </w:r>
      <w:r w:rsidRPr="00237988">
        <w:rPr>
          <w:rFonts w:eastAsiaTheme="minorHAnsi"/>
          <w:bCs w:val="0"/>
          <w:color w:val="auto"/>
          <w:lang w:eastAsia="fr-FR"/>
        </w:rPr>
        <w:tab/>
      </w:r>
      <w:r w:rsidRPr="00237988">
        <w:rPr>
          <w:rFonts w:eastAsiaTheme="minorHAnsi"/>
          <w:bCs w:val="0"/>
          <w:color w:val="auto"/>
          <w:lang w:eastAsia="fr-FR"/>
        </w:rPr>
        <w:tab/>
        <w:t xml:space="preserve">Franc de la Communauté Financière Africaine </w:t>
      </w:r>
    </w:p>
    <w:p w:rsidR="00237988" w:rsidRPr="00237988" w:rsidRDefault="00237988" w:rsidP="00237988">
      <w:pPr>
        <w:autoSpaceDE/>
        <w:autoSpaceDN/>
        <w:adjustRightInd/>
        <w:spacing w:after="0"/>
        <w:jc w:val="left"/>
        <w:rPr>
          <w:rFonts w:eastAsia="SimSun"/>
          <w:bCs w:val="0"/>
          <w:color w:val="auto"/>
        </w:rPr>
      </w:pPr>
      <w:r w:rsidRPr="00237988">
        <w:rPr>
          <w:rFonts w:eastAsiaTheme="minorHAnsi"/>
          <w:bCs w:val="0"/>
          <w:color w:val="auto"/>
          <w:lang w:eastAsia="fr-FR"/>
        </w:rPr>
        <w:t>FP :</w:t>
      </w:r>
      <w:r w:rsidRPr="00237988">
        <w:rPr>
          <w:rFonts w:eastAsiaTheme="minorHAnsi"/>
          <w:bCs w:val="0"/>
          <w:color w:val="auto"/>
          <w:lang w:eastAsia="fr-FR"/>
        </w:rPr>
        <w:tab/>
      </w:r>
      <w:r w:rsidRPr="00237988">
        <w:rPr>
          <w:rFonts w:eastAsiaTheme="minorHAnsi"/>
          <w:bCs w:val="0"/>
          <w:color w:val="auto"/>
          <w:lang w:eastAsia="fr-FR"/>
        </w:rPr>
        <w:tab/>
      </w:r>
      <w:r w:rsidRPr="00237988">
        <w:rPr>
          <w:rFonts w:eastAsiaTheme="minorHAnsi"/>
          <w:bCs w:val="0"/>
          <w:color w:val="auto"/>
          <w:lang w:eastAsia="fr-FR"/>
        </w:rPr>
        <w:tab/>
        <w:t>Facteur</w:t>
      </w:r>
      <w:r w:rsidRPr="00237988">
        <w:rPr>
          <w:rFonts w:eastAsia="SimSun"/>
          <w:bCs w:val="0"/>
          <w:color w:val="auto"/>
        </w:rPr>
        <w:t xml:space="preserve"> de Prestation </w:t>
      </w:r>
    </w:p>
    <w:p w:rsidR="00237988" w:rsidRPr="00237988" w:rsidRDefault="00E95CAB" w:rsidP="00237988">
      <w:pPr>
        <w:autoSpaceDE/>
        <w:autoSpaceDN/>
        <w:adjustRightInd/>
        <w:spacing w:after="0"/>
        <w:jc w:val="left"/>
        <w:rPr>
          <w:rFonts w:eastAsia="SimSun"/>
          <w:bCs w:val="0"/>
          <w:color w:val="auto"/>
        </w:rPr>
      </w:pPr>
      <w:r>
        <w:rPr>
          <w:rFonts w:eastAsia="SimSun"/>
          <w:bCs w:val="0"/>
          <w:color w:val="auto"/>
        </w:rPr>
        <w:t>FS :</w:t>
      </w:r>
      <w:r>
        <w:rPr>
          <w:rFonts w:eastAsia="SimSun"/>
          <w:bCs w:val="0"/>
          <w:color w:val="auto"/>
        </w:rPr>
        <w:tab/>
      </w:r>
      <w:r>
        <w:rPr>
          <w:rFonts w:eastAsia="SimSun"/>
          <w:bCs w:val="0"/>
          <w:color w:val="auto"/>
        </w:rPr>
        <w:tab/>
      </w:r>
      <w:r>
        <w:rPr>
          <w:rFonts w:eastAsia="SimSun"/>
          <w:bCs w:val="0"/>
          <w:color w:val="auto"/>
        </w:rPr>
        <w:tab/>
        <w:t>Recettes</w:t>
      </w:r>
      <w:r w:rsidR="00237988" w:rsidRPr="00237988">
        <w:rPr>
          <w:rFonts w:eastAsia="SimSun"/>
          <w:bCs w:val="0"/>
          <w:color w:val="auto"/>
        </w:rPr>
        <w:t xml:space="preserve"> des </w:t>
      </w:r>
      <w:r w:rsidRPr="00237988">
        <w:rPr>
          <w:rFonts w:eastAsia="SimSun"/>
          <w:bCs w:val="0"/>
          <w:color w:val="auto"/>
        </w:rPr>
        <w:t>régimes de financement</w:t>
      </w:r>
    </w:p>
    <w:p w:rsidR="00237988" w:rsidRPr="00237988" w:rsidRDefault="00237988" w:rsidP="00237988">
      <w:pPr>
        <w:autoSpaceDE/>
        <w:autoSpaceDN/>
        <w:adjustRightInd/>
        <w:spacing w:after="0"/>
        <w:ind w:left="2124" w:hanging="2124"/>
        <w:jc w:val="left"/>
        <w:rPr>
          <w:rFonts w:eastAsia="SimSun"/>
          <w:bCs w:val="0"/>
          <w:color w:val="auto"/>
        </w:rPr>
      </w:pPr>
      <w:r w:rsidRPr="00237988">
        <w:rPr>
          <w:rFonts w:eastAsia="SimSun"/>
          <w:bCs w:val="0"/>
          <w:color w:val="auto"/>
        </w:rPr>
        <w:t>FS.RI :</w:t>
      </w:r>
      <w:r w:rsidRPr="00237988">
        <w:rPr>
          <w:rFonts w:eastAsia="SimSun"/>
          <w:bCs w:val="0"/>
          <w:color w:val="auto"/>
        </w:rPr>
        <w:tab/>
      </w:r>
      <w:r w:rsidR="00E95CAB">
        <w:rPr>
          <w:rFonts w:eastAsia="SimSun"/>
          <w:bCs w:val="0"/>
          <w:color w:val="auto"/>
        </w:rPr>
        <w:t>Unités institutionnelles</w:t>
      </w:r>
      <w:r w:rsidRPr="00237988">
        <w:rPr>
          <w:rFonts w:eastAsia="SimSun"/>
          <w:bCs w:val="0"/>
          <w:color w:val="auto"/>
        </w:rPr>
        <w:t xml:space="preserve"> fournissant des revenus aux régimes de financement </w:t>
      </w:r>
    </w:p>
    <w:p w:rsidR="00237988" w:rsidRPr="00237988" w:rsidRDefault="00237988" w:rsidP="00237988">
      <w:pPr>
        <w:autoSpaceDE/>
        <w:autoSpaceDN/>
        <w:adjustRightInd/>
        <w:spacing w:after="0"/>
        <w:jc w:val="left"/>
        <w:rPr>
          <w:rFonts w:eastAsia="SimSun"/>
          <w:bCs w:val="0"/>
          <w:color w:val="auto"/>
          <w:lang w:val="fr-SN"/>
        </w:rPr>
      </w:pPr>
      <w:r w:rsidRPr="00237988">
        <w:rPr>
          <w:rFonts w:eastAsia="SimSun"/>
          <w:bCs w:val="0"/>
          <w:color w:val="auto"/>
          <w:lang w:val="fr-SN"/>
        </w:rPr>
        <w:t>HAAT :</w:t>
      </w:r>
      <w:r w:rsidRPr="00237988">
        <w:rPr>
          <w:rFonts w:eastAsia="SimSun"/>
          <w:bCs w:val="0"/>
          <w:color w:val="auto"/>
          <w:lang w:val="fr-SN"/>
        </w:rPr>
        <w:tab/>
      </w:r>
      <w:r w:rsidRPr="00237988">
        <w:rPr>
          <w:rFonts w:eastAsia="SimSun"/>
          <w:bCs w:val="0"/>
          <w:color w:val="auto"/>
          <w:lang w:val="fr-SN"/>
        </w:rPr>
        <w:tab/>
        <w:t>Outil d’Analyse des Comptes de la Santé</w:t>
      </w:r>
    </w:p>
    <w:p w:rsidR="00237988" w:rsidRPr="00237988" w:rsidRDefault="00237988" w:rsidP="00237988">
      <w:pPr>
        <w:autoSpaceDE/>
        <w:autoSpaceDN/>
        <w:adjustRightInd/>
        <w:spacing w:after="0"/>
        <w:jc w:val="left"/>
        <w:rPr>
          <w:rFonts w:eastAsia="SimSun"/>
          <w:bCs w:val="0"/>
          <w:color w:val="auto"/>
          <w:lang w:val="fr-SN"/>
        </w:rPr>
      </w:pPr>
      <w:r w:rsidRPr="00237988">
        <w:rPr>
          <w:rFonts w:eastAsia="SimSun"/>
          <w:bCs w:val="0"/>
          <w:color w:val="auto"/>
          <w:lang w:val="fr-SN"/>
        </w:rPr>
        <w:t>HAPT :</w:t>
      </w:r>
      <w:r w:rsidRPr="00237988">
        <w:rPr>
          <w:rFonts w:eastAsia="SimSun"/>
          <w:bCs w:val="0"/>
          <w:color w:val="auto"/>
          <w:lang w:val="fr-SN"/>
        </w:rPr>
        <w:tab/>
      </w:r>
      <w:r w:rsidRPr="00237988">
        <w:rPr>
          <w:rFonts w:eastAsia="SimSun"/>
          <w:bCs w:val="0"/>
          <w:color w:val="auto"/>
          <w:lang w:val="fr-SN"/>
        </w:rPr>
        <w:tab/>
        <w:t>Outil de Production des Comptes de la Santé</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HC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Fonctions de Soins de Santé </w:t>
      </w:r>
    </w:p>
    <w:p w:rsidR="00237988" w:rsidRPr="00237988" w:rsidRDefault="00237988" w:rsidP="00237988">
      <w:pPr>
        <w:autoSpaceDE/>
        <w:autoSpaceDN/>
        <w:adjustRightInd/>
        <w:spacing w:after="0"/>
        <w:jc w:val="left"/>
        <w:rPr>
          <w:rFonts w:eastAsiaTheme="minorHAnsi"/>
          <w:bCs w:val="0"/>
          <w:color w:val="auto"/>
          <w:lang w:eastAsia="fr-FR"/>
        </w:rPr>
      </w:pPr>
      <w:r w:rsidRPr="00237988">
        <w:rPr>
          <w:rFonts w:eastAsiaTheme="minorHAnsi"/>
          <w:bCs w:val="0"/>
          <w:color w:val="auto"/>
          <w:lang w:eastAsia="fr-FR"/>
        </w:rPr>
        <w:t>HCNLS :</w:t>
      </w:r>
      <w:r w:rsidRPr="00237988">
        <w:rPr>
          <w:rFonts w:eastAsiaTheme="minorHAnsi"/>
          <w:bCs w:val="0"/>
          <w:color w:val="auto"/>
          <w:lang w:eastAsia="fr-FR"/>
        </w:rPr>
        <w:tab/>
      </w:r>
      <w:r w:rsidRPr="00237988">
        <w:rPr>
          <w:rFonts w:eastAsiaTheme="minorHAnsi"/>
          <w:bCs w:val="0"/>
          <w:color w:val="auto"/>
          <w:lang w:eastAsia="fr-FR"/>
        </w:rPr>
        <w:tab/>
        <w:t>Haut Conseil National de Lutte contre la Pauvreté</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HHA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Harmonisation pour la Santé en Afrique </w:t>
      </w:r>
    </w:p>
    <w:p w:rsidR="00237988" w:rsidRPr="00237988" w:rsidRDefault="00237988" w:rsidP="00237988">
      <w:pPr>
        <w:autoSpaceDE/>
        <w:autoSpaceDN/>
        <w:adjustRightInd/>
        <w:spacing w:after="0"/>
        <w:jc w:val="left"/>
        <w:rPr>
          <w:bCs w:val="0"/>
          <w:lang w:eastAsia="en-US"/>
        </w:rPr>
      </w:pPr>
      <w:r w:rsidRPr="00237988">
        <w:rPr>
          <w:lang w:eastAsia="en-US"/>
        </w:rPr>
        <w:t>HK</w:t>
      </w:r>
      <w:r w:rsidRPr="00237988">
        <w:rPr>
          <w:bCs w:val="0"/>
          <w:lang w:eastAsia="en-US"/>
        </w:rPr>
        <w:t> :</w:t>
      </w:r>
      <w:r w:rsidRPr="00237988">
        <w:rPr>
          <w:bCs w:val="0"/>
          <w:lang w:eastAsia="en-US"/>
        </w:rPr>
        <w:tab/>
      </w:r>
      <w:r w:rsidRPr="00237988">
        <w:rPr>
          <w:bCs w:val="0"/>
          <w:lang w:eastAsia="en-US"/>
        </w:rPr>
        <w:tab/>
      </w:r>
      <w:r w:rsidRPr="00237988">
        <w:rPr>
          <w:bCs w:val="0"/>
          <w:lang w:eastAsia="en-US"/>
        </w:rPr>
        <w:tab/>
        <w:t>Compte de Capital</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IDH :</w:t>
      </w:r>
      <w:r w:rsidRPr="00237988">
        <w:rPr>
          <w:rFonts w:eastAsia="SimSun"/>
          <w:bCs w:val="0"/>
          <w:color w:val="auto"/>
        </w:rPr>
        <w:tab/>
      </w:r>
      <w:r w:rsidRPr="00237988">
        <w:rPr>
          <w:rFonts w:eastAsia="SimSun"/>
          <w:bCs w:val="0"/>
          <w:color w:val="auto"/>
        </w:rPr>
        <w:tab/>
      </w:r>
      <w:r w:rsidRPr="00237988">
        <w:rPr>
          <w:rFonts w:eastAsia="SimSun"/>
          <w:bCs w:val="0"/>
          <w:color w:val="auto"/>
        </w:rPr>
        <w:tab/>
        <w:t>Indice de Développement Humain</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Arial Unicode MS"/>
          <w:bCs w:val="0"/>
          <w:color w:val="auto"/>
          <w:lang w:eastAsia="en-US"/>
        </w:rPr>
        <w:t>IEC :</w:t>
      </w:r>
      <w:r w:rsidRPr="00237988">
        <w:rPr>
          <w:rFonts w:eastAsia="Arial Unicode MS"/>
          <w:bCs w:val="0"/>
          <w:color w:val="auto"/>
          <w:lang w:eastAsia="en-US"/>
        </w:rPr>
        <w:tab/>
      </w:r>
      <w:r w:rsidRPr="00237988">
        <w:rPr>
          <w:rFonts w:eastAsia="Arial Unicode MS"/>
          <w:bCs w:val="0"/>
          <w:color w:val="auto"/>
          <w:lang w:eastAsia="en-US"/>
        </w:rPr>
        <w:tab/>
      </w:r>
      <w:r w:rsidRPr="00237988">
        <w:rPr>
          <w:rFonts w:eastAsia="Arial Unicode MS"/>
          <w:bCs w:val="0"/>
          <w:color w:val="auto"/>
          <w:lang w:eastAsia="en-US"/>
        </w:rPr>
        <w:tab/>
        <w:t>Informations, Educations, Communications</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IHP :</w:t>
      </w:r>
      <w:r w:rsidRPr="00237988">
        <w:rPr>
          <w:rFonts w:eastAsia="SimSun"/>
          <w:bCs w:val="0"/>
          <w:color w:val="auto"/>
        </w:rPr>
        <w:tab/>
      </w:r>
      <w:r w:rsidRPr="00237988">
        <w:rPr>
          <w:rFonts w:eastAsia="SimSun"/>
          <w:bCs w:val="0"/>
          <w:color w:val="auto"/>
        </w:rPr>
        <w:tab/>
      </w:r>
      <w:r w:rsidRPr="00237988">
        <w:rPr>
          <w:rFonts w:eastAsia="SimSun"/>
          <w:bCs w:val="0"/>
          <w:color w:val="auto"/>
        </w:rPr>
        <w:tab/>
        <w:t>Partenariat International pour la Santé</w:t>
      </w:r>
    </w:p>
    <w:p w:rsidR="00237988" w:rsidRPr="00237988" w:rsidRDefault="00237988" w:rsidP="00237988">
      <w:pPr>
        <w:autoSpaceDE/>
        <w:autoSpaceDN/>
        <w:adjustRightInd/>
        <w:spacing w:after="0"/>
        <w:jc w:val="left"/>
        <w:rPr>
          <w:rFonts w:eastAsia="SimSun"/>
          <w:bCs w:val="0"/>
          <w:color w:val="auto"/>
        </w:rPr>
      </w:pPr>
      <w:r w:rsidRPr="00237988">
        <w:rPr>
          <w:rFonts w:eastAsia="Times New Roman"/>
          <w:bCs w:val="0"/>
          <w:color w:val="auto"/>
        </w:rPr>
        <w:t>IHPC :</w:t>
      </w:r>
      <w:r w:rsidRPr="00237988">
        <w:rPr>
          <w:rFonts w:eastAsia="Times New Roman"/>
          <w:bCs w:val="0"/>
          <w:color w:val="auto"/>
        </w:rPr>
        <w:tab/>
      </w:r>
      <w:r w:rsidRPr="00237988">
        <w:rPr>
          <w:rFonts w:eastAsia="Times New Roman"/>
          <w:bCs w:val="0"/>
          <w:color w:val="auto"/>
        </w:rPr>
        <w:tab/>
      </w:r>
      <w:r w:rsidRPr="00237988">
        <w:rPr>
          <w:rFonts w:eastAsia="Times New Roman"/>
          <w:bCs w:val="0"/>
          <w:color w:val="auto"/>
        </w:rPr>
        <w:tab/>
        <w:t>Indice Harmonisé des Prix à la Consommation</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INPS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Institut National de Prévoyance Sociale </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INSTAT :</w:t>
      </w:r>
      <w:r w:rsidRPr="00237988">
        <w:rPr>
          <w:bCs w:val="0"/>
          <w:color w:val="auto"/>
          <w:lang w:eastAsia="en-US"/>
        </w:rPr>
        <w:tab/>
      </w:r>
      <w:r w:rsidRPr="00237988">
        <w:rPr>
          <w:bCs w:val="0"/>
          <w:color w:val="auto"/>
          <w:lang w:eastAsia="en-US"/>
        </w:rPr>
        <w:tab/>
        <w:t>Institut National de la Statistique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IOTA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Institut d’Ophtalmologie Tropicale d’Afrique </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IST :</w:t>
      </w:r>
      <w:r w:rsidRPr="00237988">
        <w:rPr>
          <w:bCs w:val="0"/>
          <w:color w:val="auto"/>
          <w:lang w:eastAsia="en-US"/>
        </w:rPr>
        <w:tab/>
      </w:r>
      <w:r w:rsidRPr="00237988">
        <w:rPr>
          <w:bCs w:val="0"/>
          <w:color w:val="auto"/>
          <w:lang w:eastAsia="en-US"/>
        </w:rPr>
        <w:tab/>
      </w:r>
      <w:r w:rsidRPr="00237988">
        <w:rPr>
          <w:bCs w:val="0"/>
          <w:color w:val="auto"/>
          <w:lang w:eastAsia="en-US"/>
        </w:rPr>
        <w:tab/>
        <w:t>Infections Sexuellement Transmissibles</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Times New Roman"/>
          <w:bCs w:val="0"/>
          <w:color w:val="auto"/>
          <w:lang w:eastAsia="fr-FR"/>
        </w:rPr>
        <w:t>MIILDA :</w:t>
      </w:r>
      <w:r w:rsidRPr="00237988">
        <w:rPr>
          <w:rFonts w:eastAsia="Times New Roman"/>
          <w:bCs w:val="0"/>
          <w:color w:val="auto"/>
          <w:lang w:eastAsia="fr-FR"/>
        </w:rPr>
        <w:tab/>
      </w:r>
      <w:r w:rsidRPr="00237988">
        <w:rPr>
          <w:rFonts w:eastAsia="Times New Roman"/>
          <w:bCs w:val="0"/>
          <w:color w:val="auto"/>
          <w:lang w:eastAsia="fr-FR"/>
        </w:rPr>
        <w:tab/>
        <w:t xml:space="preserve">Moustiquaires Imprégnées d’Insecticide à Longue Durée d’Action </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Times New Roman"/>
          <w:bCs w:val="0"/>
          <w:color w:val="auto"/>
          <w:lang w:eastAsia="fr-FR"/>
        </w:rPr>
        <w:t>MILD :</w:t>
      </w:r>
      <w:r w:rsidRPr="00237988">
        <w:rPr>
          <w:rFonts w:eastAsia="Times New Roman"/>
          <w:bCs w:val="0"/>
          <w:color w:val="auto"/>
          <w:lang w:eastAsia="fr-FR"/>
        </w:rPr>
        <w:tab/>
      </w:r>
      <w:r w:rsidRPr="00237988">
        <w:rPr>
          <w:rFonts w:eastAsia="Times New Roman"/>
          <w:bCs w:val="0"/>
          <w:color w:val="auto"/>
          <w:lang w:eastAsia="fr-FR"/>
        </w:rPr>
        <w:tab/>
        <w:t>Moustiquaires Imprégnées d’Insecticide à Longue Durée</w:t>
      </w:r>
    </w:p>
    <w:p w:rsidR="00237988" w:rsidRPr="00237988" w:rsidRDefault="00237988" w:rsidP="00237988">
      <w:pPr>
        <w:autoSpaceDE/>
        <w:autoSpaceDN/>
        <w:adjustRightInd/>
        <w:spacing w:after="0"/>
        <w:jc w:val="left"/>
        <w:rPr>
          <w:rFonts w:eastAsia="Arial Unicode MS"/>
          <w:bCs w:val="0"/>
          <w:color w:val="auto"/>
          <w:lang w:eastAsia="en-US"/>
        </w:rPr>
      </w:pPr>
      <w:r w:rsidRPr="00237988">
        <w:rPr>
          <w:rFonts w:eastAsia="Arial Unicode MS"/>
          <w:bCs w:val="0"/>
          <w:color w:val="auto"/>
          <w:lang w:eastAsia="en-US"/>
        </w:rPr>
        <w:t>MSHP :</w:t>
      </w:r>
      <w:r w:rsidRPr="00237988">
        <w:rPr>
          <w:rFonts w:eastAsia="Arial Unicode MS"/>
          <w:bCs w:val="0"/>
          <w:color w:val="auto"/>
          <w:lang w:eastAsia="en-US"/>
        </w:rPr>
        <w:tab/>
      </w:r>
      <w:r w:rsidRPr="00237988">
        <w:rPr>
          <w:rFonts w:eastAsia="Arial Unicode MS"/>
          <w:bCs w:val="0"/>
          <w:color w:val="auto"/>
          <w:lang w:eastAsia="en-US"/>
        </w:rPr>
        <w:tab/>
        <w:t>Ministère de la Santé et de l’Hygiène Publique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OMD :</w:t>
      </w:r>
      <w:r w:rsidRPr="00237988">
        <w:rPr>
          <w:rFonts w:eastAsia="SimSun"/>
          <w:bCs w:val="0"/>
          <w:color w:val="auto"/>
        </w:rPr>
        <w:tab/>
      </w:r>
      <w:r w:rsidRPr="00237988">
        <w:rPr>
          <w:rFonts w:eastAsia="SimSun"/>
          <w:bCs w:val="0"/>
          <w:color w:val="auto"/>
        </w:rPr>
        <w:tab/>
      </w:r>
      <w:r w:rsidRPr="00237988">
        <w:rPr>
          <w:rFonts w:eastAsia="SimSun"/>
          <w:bCs w:val="0"/>
          <w:color w:val="auto"/>
        </w:rPr>
        <w:tab/>
        <w:t>Objectifs du Millénaire pour le Développement</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PDDSS :</w:t>
      </w:r>
      <w:r w:rsidRPr="00237988">
        <w:rPr>
          <w:rFonts w:eastAsia="SimSun"/>
          <w:bCs w:val="0"/>
          <w:color w:val="auto"/>
        </w:rPr>
        <w:tab/>
      </w:r>
      <w:r w:rsidRPr="00237988">
        <w:rPr>
          <w:rFonts w:eastAsia="SimSun"/>
          <w:bCs w:val="0"/>
          <w:color w:val="auto"/>
        </w:rPr>
        <w:tab/>
        <w:t xml:space="preserve">Plan Décennal de Développement Sanitaire Social </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PEC:</w:t>
      </w:r>
      <w:r w:rsidRPr="00237988">
        <w:rPr>
          <w:bCs w:val="0"/>
          <w:color w:val="auto"/>
          <w:lang w:eastAsia="en-US"/>
        </w:rPr>
        <w:tab/>
      </w:r>
      <w:r w:rsidRPr="00237988">
        <w:rPr>
          <w:bCs w:val="0"/>
          <w:color w:val="auto"/>
          <w:lang w:eastAsia="en-US"/>
        </w:rPr>
        <w:tab/>
      </w:r>
      <w:r w:rsidRPr="00237988">
        <w:rPr>
          <w:bCs w:val="0"/>
          <w:color w:val="auto"/>
          <w:lang w:eastAsia="en-US"/>
        </w:rPr>
        <w:tab/>
        <w:t xml:space="preserve">Prise En Charge </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PIB :</w:t>
      </w:r>
      <w:r w:rsidRPr="00237988">
        <w:rPr>
          <w:rFonts w:eastAsia="SimSun"/>
          <w:bCs w:val="0"/>
          <w:color w:val="auto"/>
        </w:rPr>
        <w:tab/>
      </w:r>
      <w:r w:rsidRPr="00237988">
        <w:rPr>
          <w:rFonts w:eastAsia="SimSun"/>
          <w:bCs w:val="0"/>
          <w:color w:val="auto"/>
        </w:rPr>
        <w:tab/>
      </w:r>
      <w:r w:rsidRPr="00237988">
        <w:rPr>
          <w:rFonts w:eastAsia="SimSun"/>
          <w:bCs w:val="0"/>
          <w:color w:val="auto"/>
        </w:rPr>
        <w:tab/>
        <w:t>Produit Intérieur Brut</w:t>
      </w:r>
    </w:p>
    <w:p w:rsidR="00237988" w:rsidRPr="00237988" w:rsidRDefault="00237988" w:rsidP="00237988">
      <w:pPr>
        <w:autoSpaceDE/>
        <w:autoSpaceDN/>
        <w:adjustRightInd/>
        <w:spacing w:after="0"/>
        <w:jc w:val="left"/>
        <w:rPr>
          <w:rFonts w:eastAsia="Times New Roman"/>
          <w:bCs w:val="0"/>
          <w:lang w:eastAsia="fr-FR"/>
        </w:rPr>
      </w:pPr>
      <w:r w:rsidRPr="00237988">
        <w:rPr>
          <w:rFonts w:eastAsia="Times New Roman"/>
          <w:bCs w:val="0"/>
          <w:lang w:eastAsia="fr-FR"/>
        </w:rPr>
        <w:t>PID :</w:t>
      </w:r>
      <w:r w:rsidRPr="00237988">
        <w:rPr>
          <w:rFonts w:eastAsia="Times New Roman"/>
          <w:bCs w:val="0"/>
          <w:lang w:eastAsia="fr-FR"/>
        </w:rPr>
        <w:tab/>
      </w:r>
      <w:r w:rsidRPr="00237988">
        <w:rPr>
          <w:rFonts w:eastAsia="Times New Roman"/>
          <w:bCs w:val="0"/>
          <w:lang w:eastAsia="fr-FR"/>
        </w:rPr>
        <w:tab/>
      </w:r>
      <w:r w:rsidRPr="00237988">
        <w:rPr>
          <w:rFonts w:eastAsia="Times New Roman"/>
          <w:bCs w:val="0"/>
          <w:lang w:eastAsia="fr-FR"/>
        </w:rPr>
        <w:tab/>
        <w:t xml:space="preserve">Pulvérisation Intra Domiciliaire </w:t>
      </w:r>
    </w:p>
    <w:p w:rsidR="00237988" w:rsidRPr="00237988" w:rsidRDefault="00237988" w:rsidP="00237988">
      <w:pPr>
        <w:autoSpaceDE/>
        <w:autoSpaceDN/>
        <w:adjustRightInd/>
        <w:spacing w:after="0"/>
        <w:jc w:val="left"/>
        <w:rPr>
          <w:rFonts w:eastAsia="Times New Roman"/>
          <w:bCs w:val="0"/>
          <w:lang w:eastAsia="fr-FR"/>
        </w:rPr>
      </w:pPr>
      <w:r w:rsidRPr="00237988">
        <w:rPr>
          <w:rFonts w:eastAsia="Times New Roman"/>
          <w:bCs w:val="0"/>
          <w:lang w:eastAsia="fr-FR"/>
        </w:rPr>
        <w:t>PMA :</w:t>
      </w:r>
      <w:r w:rsidRPr="00237988">
        <w:rPr>
          <w:rFonts w:eastAsia="Times New Roman"/>
          <w:bCs w:val="0"/>
          <w:lang w:eastAsia="fr-FR"/>
        </w:rPr>
        <w:tab/>
      </w:r>
      <w:r w:rsidRPr="00237988">
        <w:rPr>
          <w:rFonts w:eastAsia="Times New Roman"/>
          <w:bCs w:val="0"/>
          <w:lang w:eastAsia="fr-FR"/>
        </w:rPr>
        <w:tab/>
      </w:r>
      <w:r w:rsidRPr="00237988">
        <w:rPr>
          <w:rFonts w:eastAsia="Times New Roman"/>
          <w:bCs w:val="0"/>
          <w:lang w:eastAsia="fr-FR"/>
        </w:rPr>
        <w:tab/>
        <w:t xml:space="preserve">Paquet Minimum d’Activités </w:t>
      </w:r>
    </w:p>
    <w:p w:rsidR="00237988" w:rsidRPr="00237988" w:rsidRDefault="00237988" w:rsidP="00237988">
      <w:pPr>
        <w:autoSpaceDE/>
        <w:autoSpaceDN/>
        <w:adjustRightInd/>
        <w:spacing w:after="0"/>
        <w:jc w:val="left"/>
        <w:rPr>
          <w:rFonts w:eastAsia="Times New Roman"/>
          <w:bCs w:val="0"/>
          <w:lang w:eastAsia="fr-FR"/>
        </w:rPr>
      </w:pPr>
      <w:r w:rsidRPr="00237988">
        <w:rPr>
          <w:rFonts w:eastAsia="Times New Roman"/>
          <w:bCs w:val="0"/>
          <w:lang w:eastAsia="fr-FR"/>
        </w:rPr>
        <w:t>PNLT :</w:t>
      </w:r>
      <w:r w:rsidRPr="00237988">
        <w:rPr>
          <w:rFonts w:eastAsia="Times New Roman"/>
          <w:bCs w:val="0"/>
          <w:lang w:eastAsia="fr-FR"/>
        </w:rPr>
        <w:tab/>
      </w:r>
      <w:r w:rsidRPr="00237988">
        <w:rPr>
          <w:rFonts w:eastAsia="Times New Roman"/>
          <w:bCs w:val="0"/>
          <w:lang w:eastAsia="fr-FR"/>
        </w:rPr>
        <w:tab/>
        <w:t xml:space="preserve">Programme National de Lutte contre la Tuberculose </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Times New Roman"/>
          <w:bCs w:val="0"/>
          <w:color w:val="auto"/>
          <w:lang w:eastAsia="fr-FR"/>
        </w:rPr>
        <w:t>PNP :</w:t>
      </w:r>
      <w:r w:rsidRPr="00237988">
        <w:rPr>
          <w:rFonts w:eastAsia="Times New Roman"/>
          <w:bCs w:val="0"/>
          <w:color w:val="auto"/>
          <w:lang w:eastAsia="fr-FR"/>
        </w:rPr>
        <w:tab/>
      </w:r>
      <w:r w:rsidRPr="00237988">
        <w:rPr>
          <w:rFonts w:eastAsia="Times New Roman"/>
          <w:bCs w:val="0"/>
          <w:color w:val="auto"/>
          <w:lang w:eastAsia="fr-FR"/>
        </w:rPr>
        <w:tab/>
      </w:r>
      <w:r w:rsidRPr="00237988">
        <w:rPr>
          <w:rFonts w:eastAsia="Times New Roman"/>
          <w:bCs w:val="0"/>
          <w:color w:val="auto"/>
          <w:lang w:eastAsia="fr-FR"/>
        </w:rPr>
        <w:tab/>
        <w:t xml:space="preserve">Politiques Normes et Procédures </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PNUD :</w:t>
      </w:r>
      <w:r w:rsidRPr="00237988">
        <w:rPr>
          <w:rFonts w:eastAsia="SimSun"/>
          <w:bCs w:val="0"/>
          <w:color w:val="auto"/>
        </w:rPr>
        <w:tab/>
      </w:r>
      <w:r w:rsidRPr="00237988">
        <w:rPr>
          <w:rFonts w:eastAsia="SimSun"/>
          <w:bCs w:val="0"/>
          <w:color w:val="auto"/>
        </w:rPr>
        <w:tab/>
        <w:t xml:space="preserve">Programme des Nations Unies pour le Développement </w:t>
      </w:r>
    </w:p>
    <w:p w:rsidR="00237988" w:rsidRPr="00237988" w:rsidRDefault="009D495B" w:rsidP="00237988">
      <w:pPr>
        <w:autoSpaceDE/>
        <w:autoSpaceDN/>
        <w:adjustRightInd/>
        <w:spacing w:after="0"/>
        <w:jc w:val="left"/>
        <w:rPr>
          <w:rFonts w:eastAsia="SimSun"/>
          <w:bCs w:val="0"/>
          <w:color w:val="auto"/>
        </w:rPr>
      </w:pPr>
      <w:r>
        <w:rPr>
          <w:rFonts w:eastAsia="SimSun"/>
          <w:bCs w:val="0"/>
          <w:color w:val="auto"/>
        </w:rPr>
        <w:t>PTME :</w:t>
      </w:r>
      <w:r>
        <w:rPr>
          <w:rFonts w:eastAsia="SimSun"/>
          <w:bCs w:val="0"/>
          <w:color w:val="auto"/>
        </w:rPr>
        <w:tab/>
      </w:r>
      <w:r>
        <w:rPr>
          <w:rFonts w:eastAsia="SimSun"/>
          <w:bCs w:val="0"/>
          <w:color w:val="auto"/>
        </w:rPr>
        <w:tab/>
      </w:r>
      <w:r w:rsidR="00237988" w:rsidRPr="00237988">
        <w:rPr>
          <w:bCs w:val="0"/>
          <w:color w:val="auto"/>
          <w:lang w:eastAsia="en-US"/>
        </w:rPr>
        <w:t>Prévention de la Transmission Mère Enfant</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PRODESS :</w:t>
      </w:r>
      <w:r w:rsidRPr="00237988">
        <w:rPr>
          <w:rFonts w:eastAsia="SimSun"/>
          <w:bCs w:val="0"/>
          <w:color w:val="auto"/>
        </w:rPr>
        <w:tab/>
      </w:r>
      <w:r w:rsidRPr="00237988">
        <w:rPr>
          <w:rFonts w:eastAsia="SimSun"/>
          <w:bCs w:val="0"/>
          <w:color w:val="auto"/>
        </w:rPr>
        <w:tab/>
        <w:t xml:space="preserve">Programme de Développement Sanitaire et Social </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PSPHR :</w:t>
      </w:r>
      <w:r w:rsidRPr="00237988">
        <w:rPr>
          <w:rFonts w:eastAsia="SimSun"/>
          <w:bCs w:val="0"/>
          <w:color w:val="auto"/>
        </w:rPr>
        <w:tab/>
      </w:r>
      <w:r w:rsidRPr="00237988">
        <w:rPr>
          <w:rFonts w:eastAsia="SimSun"/>
          <w:bCs w:val="0"/>
          <w:color w:val="auto"/>
        </w:rPr>
        <w:tab/>
        <w:t>Projet Santé Population et Hydraulique Rurale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 xml:space="preserve">PTF :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Partenaires Techniques et Financiers </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PTME :</w:t>
      </w:r>
      <w:r w:rsidRPr="00237988">
        <w:rPr>
          <w:bCs w:val="0"/>
          <w:color w:val="auto"/>
          <w:lang w:eastAsia="en-US"/>
        </w:rPr>
        <w:tab/>
      </w:r>
      <w:r w:rsidRPr="00237988">
        <w:rPr>
          <w:bCs w:val="0"/>
          <w:color w:val="auto"/>
          <w:lang w:eastAsia="en-US"/>
        </w:rPr>
        <w:tab/>
        <w:t xml:space="preserve">Prévention de la Transmission Mère-Enfant </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PV/VIH :</w:t>
      </w:r>
      <w:r w:rsidRPr="00237988">
        <w:rPr>
          <w:bCs w:val="0"/>
          <w:color w:val="auto"/>
          <w:lang w:eastAsia="en-US"/>
        </w:rPr>
        <w:tab/>
      </w:r>
      <w:r w:rsidRPr="00237988">
        <w:rPr>
          <w:bCs w:val="0"/>
          <w:color w:val="auto"/>
          <w:lang w:eastAsia="en-US"/>
        </w:rPr>
        <w:tab/>
        <w:t>Personnes Vivant avec le VIH</w:t>
      </w:r>
      <w:r w:rsidRPr="00237988">
        <w:rPr>
          <w:bCs w:val="0"/>
          <w:color w:val="auto"/>
          <w:lang w:eastAsia="en-US"/>
        </w:rPr>
        <w:tab/>
      </w:r>
      <w:r w:rsidRPr="00237988">
        <w:rPr>
          <w:bCs w:val="0"/>
          <w:color w:val="auto"/>
          <w:lang w:eastAsia="en-US"/>
        </w:rPr>
        <w:tab/>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RG :</w:t>
      </w:r>
      <w:r w:rsidRPr="00237988">
        <w:rPr>
          <w:rFonts w:eastAsia="SimSun"/>
          <w:bCs w:val="0"/>
          <w:color w:val="auto"/>
        </w:rPr>
        <w:tab/>
      </w:r>
      <w:r w:rsidRPr="00237988">
        <w:rPr>
          <w:rFonts w:eastAsia="SimSun"/>
          <w:bCs w:val="0"/>
          <w:color w:val="auto"/>
        </w:rPr>
        <w:tab/>
      </w:r>
      <w:r w:rsidRPr="00237988">
        <w:rPr>
          <w:rFonts w:eastAsia="SimSun"/>
          <w:bCs w:val="0"/>
          <w:color w:val="auto"/>
        </w:rPr>
        <w:tab/>
        <w:t>Région</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RGPH :</w:t>
      </w:r>
      <w:r w:rsidRPr="00237988">
        <w:rPr>
          <w:rFonts w:eastAsia="SimSun"/>
          <w:bCs w:val="0"/>
          <w:color w:val="auto"/>
        </w:rPr>
        <w:tab/>
      </w:r>
      <w:r w:rsidRPr="00237988">
        <w:rPr>
          <w:rFonts w:eastAsia="SimSun"/>
          <w:bCs w:val="0"/>
          <w:color w:val="auto"/>
        </w:rPr>
        <w:tab/>
        <w:t xml:space="preserve">Recensement Général de la Population et de l’Habit </w:t>
      </w:r>
    </w:p>
    <w:p w:rsidR="00237988" w:rsidRPr="00237988" w:rsidRDefault="00237988" w:rsidP="00237988">
      <w:pPr>
        <w:autoSpaceDE/>
        <w:autoSpaceDN/>
        <w:adjustRightInd/>
        <w:spacing w:after="0"/>
        <w:jc w:val="left"/>
        <w:rPr>
          <w:rFonts w:eastAsiaTheme="minorHAnsi"/>
          <w:bCs w:val="0"/>
          <w:color w:val="auto"/>
          <w:lang w:eastAsia="en-US"/>
        </w:rPr>
      </w:pPr>
      <w:r w:rsidRPr="00237988">
        <w:rPr>
          <w:rFonts w:eastAsiaTheme="minorHAnsi"/>
          <w:bCs w:val="0"/>
          <w:color w:val="auto"/>
          <w:lang w:eastAsia="en-US"/>
        </w:rPr>
        <w:t>SHA :</w:t>
      </w:r>
      <w:r w:rsidRPr="00237988">
        <w:rPr>
          <w:rFonts w:eastAsiaTheme="minorHAnsi"/>
          <w:bCs w:val="0"/>
          <w:color w:val="auto"/>
          <w:lang w:eastAsia="en-US"/>
        </w:rPr>
        <w:tab/>
      </w:r>
      <w:r w:rsidRPr="00237988">
        <w:rPr>
          <w:rFonts w:eastAsiaTheme="minorHAnsi"/>
          <w:bCs w:val="0"/>
          <w:color w:val="auto"/>
          <w:lang w:eastAsia="en-US"/>
        </w:rPr>
        <w:tab/>
      </w:r>
      <w:r w:rsidRPr="00237988">
        <w:rPr>
          <w:rFonts w:eastAsiaTheme="minorHAnsi"/>
          <w:bCs w:val="0"/>
          <w:color w:val="auto"/>
          <w:lang w:eastAsia="en-US"/>
        </w:rPr>
        <w:tab/>
        <w:t>Système des Comptes de la Santé</w:t>
      </w:r>
    </w:p>
    <w:p w:rsidR="00237988" w:rsidRPr="00237988" w:rsidRDefault="00237988" w:rsidP="00237988">
      <w:pPr>
        <w:autoSpaceDE/>
        <w:autoSpaceDN/>
        <w:adjustRightInd/>
        <w:spacing w:after="0"/>
        <w:ind w:left="2124" w:hanging="2124"/>
        <w:jc w:val="left"/>
        <w:rPr>
          <w:bCs w:val="0"/>
          <w:color w:val="auto"/>
          <w:lang w:eastAsia="en-US"/>
        </w:rPr>
      </w:pPr>
      <w:r w:rsidRPr="00237988">
        <w:rPr>
          <w:bCs w:val="0"/>
          <w:color w:val="auto"/>
          <w:lang w:eastAsia="en-US"/>
        </w:rPr>
        <w:t>SIDA :</w:t>
      </w:r>
      <w:r w:rsidRPr="00237988">
        <w:rPr>
          <w:bCs w:val="0"/>
          <w:color w:val="auto"/>
          <w:lang w:eastAsia="en-US"/>
        </w:rPr>
        <w:tab/>
        <w:t>Syndrome Immunodéficitaire Acquis</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SLIS :</w:t>
      </w:r>
      <w:r w:rsidRPr="00237988">
        <w:rPr>
          <w:rFonts w:eastAsia="SimSun"/>
          <w:bCs w:val="0"/>
          <w:color w:val="auto"/>
        </w:rPr>
        <w:tab/>
      </w:r>
      <w:r w:rsidRPr="00237988">
        <w:rPr>
          <w:rFonts w:eastAsia="SimSun"/>
          <w:bCs w:val="0"/>
          <w:color w:val="auto"/>
        </w:rPr>
        <w:tab/>
      </w:r>
      <w:r w:rsidRPr="00237988">
        <w:rPr>
          <w:rFonts w:eastAsia="SimSun"/>
          <w:bCs w:val="0"/>
          <w:color w:val="auto"/>
        </w:rPr>
        <w:tab/>
        <w:t>Système Local d’Information Sanitaire</w:t>
      </w:r>
    </w:p>
    <w:p w:rsidR="00237988" w:rsidRPr="00557340" w:rsidRDefault="00237988" w:rsidP="00237988">
      <w:pPr>
        <w:autoSpaceDE/>
        <w:autoSpaceDN/>
        <w:adjustRightInd/>
        <w:spacing w:after="0"/>
        <w:jc w:val="left"/>
        <w:rPr>
          <w:rFonts w:eastAsia="Times New Roman"/>
          <w:bCs w:val="0"/>
          <w:color w:val="auto"/>
          <w:lang w:val="en-US" w:eastAsia="fr-FR"/>
        </w:rPr>
      </w:pPr>
      <w:r w:rsidRPr="00557340">
        <w:rPr>
          <w:rFonts w:eastAsia="Times New Roman"/>
          <w:bCs w:val="0"/>
          <w:color w:val="auto"/>
          <w:lang w:val="en-US" w:eastAsia="fr-FR"/>
        </w:rPr>
        <w:t>SMC :</w:t>
      </w:r>
      <w:r w:rsidRPr="00557340">
        <w:rPr>
          <w:rFonts w:eastAsia="Times New Roman"/>
          <w:bCs w:val="0"/>
          <w:color w:val="auto"/>
          <w:lang w:val="en-US" w:eastAsia="fr-FR"/>
        </w:rPr>
        <w:tab/>
      </w:r>
      <w:r w:rsidRPr="00557340">
        <w:rPr>
          <w:rFonts w:eastAsia="Times New Roman"/>
          <w:bCs w:val="0"/>
          <w:color w:val="auto"/>
          <w:lang w:val="en-US" w:eastAsia="fr-FR"/>
        </w:rPr>
        <w:tab/>
      </w:r>
      <w:r w:rsidRPr="00557340">
        <w:rPr>
          <w:rFonts w:eastAsia="Times New Roman"/>
          <w:bCs w:val="0"/>
          <w:color w:val="auto"/>
          <w:lang w:val="en-US" w:eastAsia="fr-FR"/>
        </w:rPr>
        <w:tab/>
        <w:t>Seasonal Malaria Chemotherapy </w:t>
      </w:r>
    </w:p>
    <w:p w:rsidR="00237988" w:rsidRPr="00557340" w:rsidRDefault="00237988" w:rsidP="00237988">
      <w:pPr>
        <w:autoSpaceDE/>
        <w:autoSpaceDN/>
        <w:adjustRightInd/>
        <w:spacing w:after="0"/>
        <w:jc w:val="left"/>
        <w:rPr>
          <w:rFonts w:eastAsia="SimSun"/>
          <w:bCs w:val="0"/>
          <w:color w:val="auto"/>
          <w:lang w:val="en-US"/>
        </w:rPr>
      </w:pPr>
      <w:r w:rsidRPr="00557340">
        <w:rPr>
          <w:rFonts w:eastAsia="SimSun"/>
          <w:bCs w:val="0"/>
          <w:color w:val="auto"/>
          <w:lang w:val="en-US"/>
        </w:rPr>
        <w:t>SME :</w:t>
      </w:r>
      <w:r w:rsidRPr="00557340">
        <w:rPr>
          <w:rFonts w:eastAsia="SimSun"/>
          <w:bCs w:val="0"/>
          <w:color w:val="auto"/>
          <w:lang w:val="en-US"/>
        </w:rPr>
        <w:tab/>
      </w:r>
      <w:r w:rsidRPr="00557340">
        <w:rPr>
          <w:rFonts w:eastAsia="SimSun"/>
          <w:bCs w:val="0"/>
          <w:color w:val="auto"/>
          <w:lang w:val="en-US"/>
        </w:rPr>
        <w:tab/>
      </w:r>
      <w:r w:rsidRPr="00557340">
        <w:rPr>
          <w:rFonts w:eastAsia="SimSun"/>
          <w:bCs w:val="0"/>
          <w:color w:val="auto"/>
          <w:lang w:val="en-US"/>
        </w:rPr>
        <w:tab/>
        <w:t>Monitoring Et Evaluation</w:t>
      </w:r>
      <w:r w:rsidRPr="00557340">
        <w:rPr>
          <w:rFonts w:eastAsia="SimSun"/>
          <w:bCs w:val="0"/>
          <w:color w:val="auto"/>
          <w:lang w:val="en-US"/>
        </w:rPr>
        <w:tab/>
      </w:r>
      <w:r w:rsidRPr="00557340">
        <w:rPr>
          <w:rFonts w:eastAsia="SimSun"/>
          <w:bCs w:val="0"/>
          <w:color w:val="auto"/>
          <w:lang w:val="en-US"/>
        </w:rPr>
        <w:tab/>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SNV :</w:t>
      </w:r>
      <w:r w:rsidRPr="00237988">
        <w:rPr>
          <w:rFonts w:eastAsia="SimSun"/>
          <w:bCs w:val="0"/>
          <w:color w:val="auto"/>
        </w:rPr>
        <w:tab/>
      </w:r>
      <w:r w:rsidRPr="00237988">
        <w:rPr>
          <w:rFonts w:eastAsia="SimSun"/>
          <w:bCs w:val="0"/>
          <w:color w:val="auto"/>
        </w:rPr>
        <w:tab/>
      </w:r>
      <w:r w:rsidRPr="00237988">
        <w:rPr>
          <w:rFonts w:eastAsia="SimSun"/>
          <w:bCs w:val="0"/>
          <w:color w:val="auto"/>
        </w:rPr>
        <w:tab/>
        <w:t>Organisation Néerlandaise de Développement</w:t>
      </w:r>
      <w:r w:rsidRPr="00237988">
        <w:rPr>
          <w:rFonts w:eastAsia="SimSun"/>
          <w:bCs w:val="0"/>
          <w:color w:val="auto"/>
        </w:rPr>
        <w:tab/>
      </w:r>
      <w:r w:rsidRPr="00237988">
        <w:rPr>
          <w:rFonts w:eastAsia="SimSun"/>
          <w:bCs w:val="0"/>
          <w:color w:val="auto"/>
        </w:rPr>
        <w:tab/>
      </w:r>
    </w:p>
    <w:p w:rsidR="00237988" w:rsidRPr="00237988" w:rsidRDefault="00237988" w:rsidP="00237988">
      <w:pPr>
        <w:autoSpaceDE/>
        <w:autoSpaceDN/>
        <w:adjustRightInd/>
        <w:spacing w:after="0"/>
        <w:jc w:val="left"/>
        <w:rPr>
          <w:rFonts w:eastAsia="Arial Unicode MS"/>
          <w:bCs w:val="0"/>
          <w:color w:val="auto"/>
          <w:lang w:eastAsia="en-US"/>
        </w:rPr>
      </w:pPr>
      <w:r w:rsidRPr="00237988">
        <w:rPr>
          <w:rFonts w:eastAsia="Arial Unicode MS"/>
          <w:bCs w:val="0"/>
          <w:color w:val="auto"/>
          <w:lang w:eastAsia="en-US"/>
        </w:rPr>
        <w:t>SR :</w:t>
      </w:r>
      <w:r w:rsidRPr="00237988">
        <w:rPr>
          <w:rFonts w:eastAsia="Arial Unicode MS"/>
          <w:bCs w:val="0"/>
          <w:color w:val="auto"/>
          <w:lang w:eastAsia="en-US"/>
        </w:rPr>
        <w:tab/>
      </w:r>
      <w:r w:rsidRPr="00237988">
        <w:rPr>
          <w:rFonts w:eastAsia="Arial Unicode MS"/>
          <w:bCs w:val="0"/>
          <w:color w:val="auto"/>
          <w:lang w:eastAsia="en-US"/>
        </w:rPr>
        <w:tab/>
      </w:r>
      <w:r w:rsidRPr="00237988">
        <w:rPr>
          <w:rFonts w:eastAsia="Arial Unicode MS"/>
          <w:bCs w:val="0"/>
          <w:color w:val="auto"/>
          <w:lang w:eastAsia="en-US"/>
        </w:rPr>
        <w:tab/>
        <w:t>Santé de la Reproduction</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SSP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Soins de Santé Primaires </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Times New Roman"/>
          <w:bCs w:val="0"/>
          <w:color w:val="auto"/>
          <w:lang w:eastAsia="fr-FR"/>
        </w:rPr>
        <w:t>TPI :</w:t>
      </w:r>
      <w:r w:rsidRPr="00237988">
        <w:rPr>
          <w:rFonts w:eastAsia="Times New Roman"/>
          <w:bCs w:val="0"/>
          <w:color w:val="auto"/>
          <w:lang w:eastAsia="fr-FR"/>
        </w:rPr>
        <w:tab/>
      </w:r>
      <w:r w:rsidRPr="00237988">
        <w:rPr>
          <w:rFonts w:eastAsia="Times New Roman"/>
          <w:bCs w:val="0"/>
          <w:color w:val="auto"/>
          <w:lang w:eastAsia="fr-FR"/>
        </w:rPr>
        <w:tab/>
      </w:r>
      <w:r w:rsidRPr="00237988">
        <w:rPr>
          <w:rFonts w:eastAsia="Times New Roman"/>
          <w:bCs w:val="0"/>
          <w:color w:val="auto"/>
          <w:lang w:eastAsia="fr-FR"/>
        </w:rPr>
        <w:tab/>
        <w:t xml:space="preserve">Traitement Préventif </w:t>
      </w:r>
      <w:r w:rsidR="009B0CE2">
        <w:rPr>
          <w:rFonts w:eastAsia="Times New Roman"/>
          <w:bCs w:val="0"/>
          <w:color w:val="auto"/>
          <w:lang w:eastAsia="fr-FR"/>
        </w:rPr>
        <w:t>Intermittent</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Times New Roman"/>
          <w:bCs w:val="0"/>
          <w:color w:val="auto"/>
          <w:lang w:eastAsia="fr-FR"/>
        </w:rPr>
        <w:t>TPS :</w:t>
      </w:r>
      <w:r w:rsidRPr="00237988">
        <w:rPr>
          <w:rFonts w:eastAsia="Times New Roman"/>
          <w:bCs w:val="0"/>
          <w:color w:val="auto"/>
          <w:lang w:eastAsia="fr-FR"/>
        </w:rPr>
        <w:tab/>
      </w:r>
      <w:r w:rsidRPr="00237988">
        <w:rPr>
          <w:rFonts w:eastAsia="Times New Roman"/>
          <w:bCs w:val="0"/>
          <w:color w:val="auto"/>
          <w:lang w:eastAsia="fr-FR"/>
        </w:rPr>
        <w:tab/>
      </w:r>
      <w:r w:rsidRPr="00237988">
        <w:rPr>
          <w:rFonts w:eastAsia="Times New Roman"/>
          <w:bCs w:val="0"/>
          <w:color w:val="auto"/>
          <w:lang w:eastAsia="fr-FR"/>
        </w:rPr>
        <w:tab/>
        <w:t>Traitement Préventif Saisonnier</w:t>
      </w:r>
      <w:r w:rsidRPr="00237988">
        <w:rPr>
          <w:rFonts w:eastAsia="Times New Roman"/>
          <w:bCs w:val="0"/>
          <w:color w:val="auto"/>
          <w:lang w:eastAsia="fr-FR"/>
        </w:rPr>
        <w:tab/>
      </w:r>
    </w:p>
    <w:p w:rsidR="00237988" w:rsidRDefault="00237988" w:rsidP="00237988">
      <w:pPr>
        <w:autoSpaceDE/>
        <w:autoSpaceDN/>
        <w:adjustRightInd/>
        <w:spacing w:after="0"/>
        <w:jc w:val="left"/>
        <w:rPr>
          <w:rFonts w:eastAsia="SimSun"/>
          <w:bCs w:val="0"/>
          <w:color w:val="auto"/>
          <w:lang w:val="fr-SN"/>
        </w:rPr>
      </w:pPr>
      <w:r w:rsidRPr="00237988">
        <w:rPr>
          <w:rFonts w:eastAsia="SimSun"/>
          <w:bCs w:val="0"/>
          <w:color w:val="auto"/>
          <w:lang w:val="fr-SN"/>
        </w:rPr>
        <w:t>UEMOA :</w:t>
      </w:r>
      <w:r w:rsidRPr="00237988">
        <w:rPr>
          <w:rFonts w:eastAsia="SimSun"/>
          <w:bCs w:val="0"/>
          <w:color w:val="auto"/>
          <w:lang w:val="fr-SN"/>
        </w:rPr>
        <w:tab/>
      </w:r>
      <w:r w:rsidRPr="00237988">
        <w:rPr>
          <w:rFonts w:eastAsia="SimSun"/>
          <w:bCs w:val="0"/>
          <w:color w:val="auto"/>
          <w:lang w:val="fr-SN"/>
        </w:rPr>
        <w:tab/>
        <w:t xml:space="preserve">Union Economique et Monétaire Ouest Africaine </w:t>
      </w:r>
    </w:p>
    <w:p w:rsidR="00486FF6" w:rsidRPr="00237988" w:rsidRDefault="00486FF6" w:rsidP="00237988">
      <w:pPr>
        <w:autoSpaceDE/>
        <w:autoSpaceDN/>
        <w:adjustRightInd/>
        <w:spacing w:after="0"/>
        <w:jc w:val="left"/>
        <w:rPr>
          <w:rFonts w:eastAsia="SimSun"/>
          <w:bCs w:val="0"/>
          <w:color w:val="auto"/>
          <w:lang w:val="fr-SN"/>
        </w:rPr>
      </w:pPr>
      <w:r>
        <w:rPr>
          <w:rFonts w:eastAsia="SimSun"/>
          <w:bCs w:val="0"/>
          <w:color w:val="auto"/>
          <w:lang w:val="fr-SN"/>
        </w:rPr>
        <w:t>UNFPA :</w:t>
      </w:r>
      <w:r>
        <w:rPr>
          <w:rFonts w:eastAsia="SimSun"/>
          <w:bCs w:val="0"/>
          <w:color w:val="auto"/>
          <w:lang w:val="fr-SN"/>
        </w:rPr>
        <w:tab/>
      </w:r>
      <w:r>
        <w:rPr>
          <w:rFonts w:eastAsia="SimSun"/>
          <w:bCs w:val="0"/>
          <w:color w:val="auto"/>
          <w:lang w:val="fr-SN"/>
        </w:rPr>
        <w:tab/>
      </w:r>
      <w:r w:rsidRPr="00237988">
        <w:rPr>
          <w:rFonts w:eastAsia="SimSun"/>
          <w:bCs w:val="0"/>
          <w:color w:val="auto"/>
        </w:rPr>
        <w:t>Fonds des Nations Unies pour la Population</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UNICEF :</w:t>
      </w:r>
      <w:r w:rsidRPr="00237988">
        <w:rPr>
          <w:rFonts w:eastAsia="SimSun"/>
          <w:bCs w:val="0"/>
          <w:color w:val="auto"/>
        </w:rPr>
        <w:tab/>
      </w:r>
      <w:r w:rsidRPr="00237988">
        <w:rPr>
          <w:rFonts w:eastAsia="SimSun"/>
          <w:bCs w:val="0"/>
          <w:color w:val="auto"/>
        </w:rPr>
        <w:tab/>
        <w:t xml:space="preserve">Fonds des </w:t>
      </w:r>
      <w:r w:rsidR="00486FF6">
        <w:rPr>
          <w:rFonts w:eastAsia="SimSun"/>
          <w:bCs w:val="0"/>
          <w:color w:val="auto"/>
        </w:rPr>
        <w:t>Nations Unies pour l’Enfance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USAID :</w:t>
      </w:r>
      <w:r w:rsidRPr="00237988">
        <w:rPr>
          <w:rFonts w:eastAsia="SimSun"/>
          <w:bCs w:val="0"/>
          <w:color w:val="auto"/>
        </w:rPr>
        <w:tab/>
      </w:r>
      <w:r w:rsidRPr="00237988">
        <w:rPr>
          <w:rFonts w:eastAsia="SimSun"/>
          <w:bCs w:val="0"/>
          <w:color w:val="auto"/>
        </w:rPr>
        <w:tab/>
        <w:t>Agence Américaine de Développement Internationale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USD :</w:t>
      </w:r>
      <w:r w:rsidRPr="00237988">
        <w:rPr>
          <w:rFonts w:eastAsia="SimSun"/>
          <w:bCs w:val="0"/>
          <w:color w:val="auto"/>
        </w:rPr>
        <w:tab/>
      </w:r>
      <w:r w:rsidRPr="00237988">
        <w:rPr>
          <w:rFonts w:eastAsia="SimSun"/>
          <w:bCs w:val="0"/>
          <w:color w:val="auto"/>
        </w:rPr>
        <w:tab/>
      </w:r>
      <w:r w:rsidRPr="00237988">
        <w:rPr>
          <w:rFonts w:eastAsia="SimSun"/>
          <w:bCs w:val="0"/>
          <w:color w:val="auto"/>
        </w:rPr>
        <w:tab/>
        <w:t>Dollar Américain</w:t>
      </w:r>
    </w:p>
    <w:p w:rsidR="00237988" w:rsidRDefault="00237988" w:rsidP="00237988">
      <w:r w:rsidRPr="00237988">
        <w:rPr>
          <w:rFonts w:eastAsia="SimSun"/>
          <w:bCs w:val="0"/>
          <w:color w:val="auto"/>
        </w:rPr>
        <w:t>VIH :</w:t>
      </w:r>
      <w:r w:rsidRPr="00237988">
        <w:rPr>
          <w:rFonts w:eastAsia="SimSun"/>
          <w:bCs w:val="0"/>
          <w:color w:val="auto"/>
        </w:rPr>
        <w:tab/>
      </w:r>
      <w:r w:rsidRPr="00237988">
        <w:rPr>
          <w:rFonts w:eastAsia="SimSun"/>
          <w:bCs w:val="0"/>
          <w:color w:val="auto"/>
        </w:rPr>
        <w:tab/>
      </w:r>
      <w:r w:rsidRPr="00237988">
        <w:rPr>
          <w:rFonts w:eastAsia="SimSun"/>
          <w:bCs w:val="0"/>
          <w:color w:val="auto"/>
        </w:rPr>
        <w:tab/>
        <w:t>Virus de l'Immunodéficience Humaine</w:t>
      </w:r>
      <w:r>
        <w:br w:type="page"/>
      </w:r>
    </w:p>
    <w:p w:rsidR="00C669B1" w:rsidRPr="0044670F" w:rsidRDefault="00352D08" w:rsidP="00302D13">
      <w:pPr>
        <w:pStyle w:val="Titre1"/>
        <w:ind w:left="720" w:hanging="360"/>
      </w:pPr>
      <w:bookmarkStart w:id="6" w:name="_Toc413941204"/>
      <w:r w:rsidRPr="0044670F">
        <w:t>Résumé</w:t>
      </w:r>
      <w:bookmarkEnd w:id="6"/>
    </w:p>
    <w:p w:rsidR="006740B9" w:rsidRDefault="006740B9" w:rsidP="006740B9">
      <w:pPr>
        <w:spacing w:line="312" w:lineRule="auto"/>
      </w:pPr>
      <w:r>
        <w:t>L’objectif de cet exercice est d’estimer et analyser la répartition des dépenses de santé selon la dimension financement, le prestataire et les intrants utilisés, les bénéficiaires et les types de soins de santé consommés.</w:t>
      </w:r>
    </w:p>
    <w:p w:rsidR="002C5AFC" w:rsidRDefault="006740B9" w:rsidP="006740B9">
      <w:r w:rsidRPr="00695FFA">
        <w:t>La dépense totale de santé est estimée en 201</w:t>
      </w:r>
      <w:r>
        <w:t>4</w:t>
      </w:r>
      <w:r w:rsidRPr="00695FFA">
        <w:t>, à</w:t>
      </w:r>
      <w:r w:rsidR="000327D9">
        <w:t>427,676</w:t>
      </w:r>
      <w:r>
        <w:t>m</w:t>
      </w:r>
      <w:r w:rsidRPr="00695FFA">
        <w:t xml:space="preserve">illiards de FCFA </w:t>
      </w:r>
      <w:r>
        <w:t>dont401,</w:t>
      </w:r>
      <w:r w:rsidR="00F565C0">
        <w:t>310</w:t>
      </w:r>
      <w:r>
        <w:t xml:space="preserve"> m</w:t>
      </w:r>
      <w:r w:rsidRPr="00695FFA">
        <w:t xml:space="preserve">illiards de FCFA pour les dépenses courantes de santé et </w:t>
      </w:r>
      <w:r w:rsidR="000327D9">
        <w:t>26,366</w:t>
      </w:r>
      <w:r>
        <w:t>m</w:t>
      </w:r>
      <w:r w:rsidRPr="00695FFA">
        <w:t>illiards de FCFA pour les investissements</w:t>
      </w:r>
      <w:r w:rsidR="00F565C0">
        <w:t>. Ces dépenses étaient respectivement de 343,504</w:t>
      </w:r>
      <w:r w:rsidR="00975822" w:rsidRPr="00695FFA">
        <w:t>milliards de FCFA</w:t>
      </w:r>
      <w:r w:rsidRPr="00695FFA">
        <w:t>e</w:t>
      </w:r>
      <w:r w:rsidR="00F565C0">
        <w:t>t</w:t>
      </w:r>
      <w:r>
        <w:t xml:space="preserve"> 19,694</w:t>
      </w:r>
      <w:r w:rsidRPr="00695FFA">
        <w:t xml:space="preserve"> milliards de FCFA en 20</w:t>
      </w:r>
      <w:r>
        <w:t>13</w:t>
      </w:r>
      <w:r w:rsidR="00556E5C">
        <w:t> ;</w:t>
      </w:r>
      <w:r w:rsidRPr="00695FFA">
        <w:t xml:space="preserve"> soit un accroissement de</w:t>
      </w:r>
      <w:r w:rsidR="00257506">
        <w:t>8,1</w:t>
      </w:r>
      <w:r w:rsidR="00556E5C">
        <w:t>5</w:t>
      </w:r>
      <w:r w:rsidRPr="00695FFA">
        <w:t xml:space="preserve"> %</w:t>
      </w:r>
      <w:r w:rsidR="00556E5C">
        <w:t xml:space="preserve"> de la dépense totale</w:t>
      </w:r>
      <w:r w:rsidRPr="00695FFA">
        <w:t>.</w:t>
      </w:r>
    </w:p>
    <w:p w:rsidR="006740B9" w:rsidRPr="00695FFA" w:rsidRDefault="006740B9" w:rsidP="006740B9">
      <w:pPr>
        <w:rPr>
          <w:color w:val="FF0000"/>
        </w:rPr>
      </w:pPr>
      <w:r>
        <w:t xml:space="preserve">La dépense de santé par tête d’habitant en 2014, est de 24 </w:t>
      </w:r>
      <w:r w:rsidR="00551394">
        <w:t xml:space="preserve">721  </w:t>
      </w:r>
      <w:r>
        <w:t>FCFA (49,</w:t>
      </w:r>
      <w:r w:rsidR="00551394">
        <w:t>4</w:t>
      </w:r>
      <w:r>
        <w:t xml:space="preserve"> $ US) contre 21 369 FCFA (42,7 $ US) en 2013 $ US. Cet indicateur est en légère hausse mais reste toujours en deçà de la norme de l’OMS qui est de 54 $USD.  </w:t>
      </w:r>
    </w:p>
    <w:p w:rsidR="006740B9" w:rsidRDefault="006740B9" w:rsidP="006740B9">
      <w:pPr>
        <w:spacing w:line="312" w:lineRule="auto"/>
      </w:pPr>
      <w:r w:rsidRPr="00695FFA">
        <w:t xml:space="preserve"> Les</w:t>
      </w:r>
      <w:r w:rsidR="00F565C0">
        <w:t xml:space="preserve"> dépenses effectuées</w:t>
      </w:r>
      <w:r>
        <w:t xml:space="preserve"> par les</w:t>
      </w:r>
      <w:r w:rsidRPr="00695FFA">
        <w:t xml:space="preserve"> ménages </w:t>
      </w:r>
      <w:r>
        <w:t xml:space="preserve">restent </w:t>
      </w:r>
      <w:r w:rsidR="00F565C0">
        <w:t>élevées</w:t>
      </w:r>
      <w:r>
        <w:t xml:space="preserve"> malgré la lé</w:t>
      </w:r>
      <w:r w:rsidR="004E00EC">
        <w:t>gère baisse constatée en 2014(</w:t>
      </w:r>
      <w:r w:rsidR="00551394">
        <w:t xml:space="preserve"> 45,84</w:t>
      </w:r>
      <w:r w:rsidR="004E00EC">
        <w:t>% contre 50,41</w:t>
      </w:r>
      <w:r>
        <w:t>% en 2013).</w:t>
      </w:r>
    </w:p>
    <w:p w:rsidR="001562E7" w:rsidRDefault="006740B9" w:rsidP="006740B9">
      <w:pPr>
        <w:spacing w:line="312" w:lineRule="auto"/>
      </w:pPr>
      <w:r w:rsidRPr="004427A9">
        <w:t xml:space="preserve">Les ressources mobilisées par le système national de santé sont consacrées pour </w:t>
      </w:r>
      <w:r w:rsidR="000327D9">
        <w:t xml:space="preserve">37 </w:t>
      </w:r>
      <w:r w:rsidRPr="004427A9">
        <w:t xml:space="preserve">% aux produits pharmaceutiques. </w:t>
      </w:r>
    </w:p>
    <w:p w:rsidR="001562E7" w:rsidRDefault="006740B9" w:rsidP="006740B9">
      <w:pPr>
        <w:spacing w:line="312" w:lineRule="auto"/>
      </w:pPr>
      <w:r w:rsidRPr="004427A9">
        <w:t xml:space="preserve">Les soins curatifs représentent </w:t>
      </w:r>
      <w:r w:rsidR="00C33C5C">
        <w:t>58,68</w:t>
      </w:r>
      <w:r w:rsidRPr="004427A9">
        <w:t>% de</w:t>
      </w:r>
      <w:r w:rsidR="00990D16">
        <w:t>s</w:t>
      </w:r>
      <w:r w:rsidRPr="004427A9">
        <w:t xml:space="preserve">  dépense</w:t>
      </w:r>
      <w:r w:rsidR="00990D16">
        <w:t>s</w:t>
      </w:r>
      <w:r w:rsidRPr="004427A9">
        <w:t xml:space="preserve"> courante</w:t>
      </w:r>
      <w:r w:rsidR="00990D16">
        <w:t>s</w:t>
      </w:r>
      <w:r w:rsidRPr="004427A9">
        <w:t xml:space="preserve"> de santé en 201</w:t>
      </w:r>
      <w:r>
        <w:t>4</w:t>
      </w:r>
      <w:r w:rsidRPr="004427A9">
        <w:t xml:space="preserve"> dont </w:t>
      </w:r>
      <w:r>
        <w:t>87,</w:t>
      </w:r>
      <w:r w:rsidR="00886571">
        <w:t>34</w:t>
      </w:r>
      <w:r w:rsidRPr="004427A9">
        <w:t xml:space="preserve">% pour les soins ambulatoires et </w:t>
      </w:r>
      <w:r>
        <w:t>12,</w:t>
      </w:r>
      <w:r w:rsidR="00886571">
        <w:t>66</w:t>
      </w:r>
      <w:r w:rsidRPr="004427A9">
        <w:t xml:space="preserve">% pour les soins hospitaliers. </w:t>
      </w:r>
    </w:p>
    <w:p w:rsidR="001562E7" w:rsidRDefault="006740B9" w:rsidP="006740B9">
      <w:pPr>
        <w:spacing w:line="312" w:lineRule="auto"/>
      </w:pPr>
      <w:r w:rsidRPr="004427A9">
        <w:t>Les dépenses consacrées aux services de soins préventifs constituent</w:t>
      </w:r>
      <w:r w:rsidR="001F573A">
        <w:t>25,60</w:t>
      </w:r>
      <w:r w:rsidRPr="004427A9">
        <w:t>% des dépenses courantes de santé en 201</w:t>
      </w:r>
      <w:r>
        <w:t>4</w:t>
      </w:r>
      <w:r w:rsidRPr="004427A9">
        <w:t xml:space="preserve"> dont </w:t>
      </w:r>
      <w:r w:rsidR="00C0068F">
        <w:t>18,76</w:t>
      </w:r>
      <w:r w:rsidRPr="004427A9">
        <w:t>% sont consacrées au Programme Elargi de vaccination (PEV).</w:t>
      </w:r>
    </w:p>
    <w:p w:rsidR="001562E7" w:rsidRDefault="006740B9" w:rsidP="006740B9">
      <w:pPr>
        <w:spacing w:line="312" w:lineRule="auto"/>
      </w:pPr>
      <w:r w:rsidRPr="00695FFA">
        <w:t xml:space="preserve">Quant aux activités du programme de suivi de l’état de santé, elles  ont absorbé </w:t>
      </w:r>
      <w:r w:rsidR="00604B7A">
        <w:t xml:space="preserve"> 4,91</w:t>
      </w:r>
      <w:r w:rsidRPr="00695FFA">
        <w:t>%</w:t>
      </w:r>
      <w:r>
        <w:t xml:space="preserve">. </w:t>
      </w:r>
    </w:p>
    <w:p w:rsidR="006740B9" w:rsidRPr="00695FFA" w:rsidRDefault="006740B9" w:rsidP="006740B9">
      <w:pPr>
        <w:spacing w:line="312" w:lineRule="auto"/>
      </w:pPr>
      <w:r>
        <w:t>L</w:t>
      </w:r>
      <w:r w:rsidRPr="00695FFA">
        <w:t>a part de la prévention est encore faible</w:t>
      </w:r>
      <w:r>
        <w:t>. C</w:t>
      </w:r>
      <w:r w:rsidRPr="00695FFA">
        <w:t xml:space="preserve">e qui ne permet pas de  prendre en compte toutes les préoccupations de la santé de la population.   </w:t>
      </w:r>
    </w:p>
    <w:p w:rsidR="006740B9" w:rsidRPr="00695FFA" w:rsidRDefault="006740B9" w:rsidP="006740B9">
      <w:pPr>
        <w:spacing w:line="312" w:lineRule="auto"/>
      </w:pPr>
      <w:r w:rsidRPr="00695FFA">
        <w:t xml:space="preserve">Par ailleurs, les </w:t>
      </w:r>
      <w:r>
        <w:t xml:space="preserve">dépenses de santé par </w:t>
      </w:r>
      <w:r w:rsidRPr="00695FFA">
        <w:t>maladies font ressortir les principales informations suivantes :</w:t>
      </w:r>
    </w:p>
    <w:p w:rsidR="006740B9" w:rsidRPr="002D1454" w:rsidRDefault="006740B9" w:rsidP="00C63457">
      <w:pPr>
        <w:pStyle w:val="Paragraphedeliste"/>
        <w:numPr>
          <w:ilvl w:val="0"/>
          <w:numId w:val="22"/>
        </w:numPr>
        <w:autoSpaceDE/>
        <w:autoSpaceDN/>
        <w:adjustRightInd/>
        <w:spacing w:after="0" w:line="312" w:lineRule="auto"/>
        <w:ind w:left="426"/>
      </w:pPr>
      <w:r w:rsidRPr="002D1454">
        <w:t xml:space="preserve">Les dépenses de paludisme s’élèvent à </w:t>
      </w:r>
      <w:r w:rsidR="00757682" w:rsidRPr="002D1454">
        <w:t>121,443</w:t>
      </w:r>
      <w:r w:rsidRPr="002D1454">
        <w:t xml:space="preserve">milliards de FCFA soit </w:t>
      </w:r>
      <w:r w:rsidR="00757682" w:rsidRPr="002D1454">
        <w:t>30,26</w:t>
      </w:r>
      <w:r w:rsidRPr="002D1454">
        <w:t xml:space="preserve">% des dépenses courantes de santé et </w:t>
      </w:r>
      <w:r w:rsidR="00625D22" w:rsidRPr="002D1454">
        <w:t>24,08%</w:t>
      </w:r>
      <w:r w:rsidRPr="002D1454">
        <w:t xml:space="preserve"> par rapport aux dépenses des maladies infectieuses et parasitaires ; </w:t>
      </w:r>
    </w:p>
    <w:p w:rsidR="006740B9" w:rsidRPr="002D1454" w:rsidRDefault="006740B9" w:rsidP="00C63457">
      <w:pPr>
        <w:pStyle w:val="Paragraphedeliste"/>
        <w:numPr>
          <w:ilvl w:val="0"/>
          <w:numId w:val="22"/>
        </w:numPr>
        <w:autoSpaceDE/>
        <w:autoSpaceDN/>
        <w:adjustRightInd/>
        <w:spacing w:after="0" w:line="312" w:lineRule="auto"/>
        <w:ind w:left="426"/>
      </w:pPr>
      <w:r w:rsidRPr="002D1454">
        <w:t xml:space="preserve">Les dépenses consacrées à la lutte contre la tuberculose en 2014 ont été évaluées à </w:t>
      </w:r>
      <w:r w:rsidR="001E121E" w:rsidRPr="002D1454">
        <w:t>7,924milliards</w:t>
      </w:r>
      <w:r w:rsidRPr="002D1454">
        <w:t xml:space="preserve">de FCFA soit </w:t>
      </w:r>
      <w:r w:rsidR="001E121E" w:rsidRPr="002D1454">
        <w:t xml:space="preserve"> 1,97</w:t>
      </w:r>
      <w:r w:rsidRPr="002D1454">
        <w:t xml:space="preserve">% des dépenses courantes de santé et </w:t>
      </w:r>
      <w:r w:rsidR="00625D22" w:rsidRPr="002D1454">
        <w:t>27,09</w:t>
      </w:r>
      <w:r w:rsidRPr="002D1454">
        <w:t>% par rapport aux dépenses des maladies infectieuses et parasitaires ;</w:t>
      </w:r>
    </w:p>
    <w:p w:rsidR="006740B9" w:rsidRPr="002D1454" w:rsidRDefault="006740B9" w:rsidP="00C63457">
      <w:pPr>
        <w:pStyle w:val="Paragraphedeliste"/>
        <w:numPr>
          <w:ilvl w:val="0"/>
          <w:numId w:val="22"/>
        </w:numPr>
        <w:autoSpaceDE/>
        <w:autoSpaceDN/>
        <w:adjustRightInd/>
        <w:spacing w:after="0" w:line="312" w:lineRule="auto"/>
        <w:ind w:left="426"/>
      </w:pPr>
      <w:r w:rsidRPr="002D1454">
        <w:t>Les dépenses consacrées à la lutte contre le VIH et le SIDA</w:t>
      </w:r>
      <w:r w:rsidR="009721AB">
        <w:t xml:space="preserve"> </w:t>
      </w:r>
      <w:r w:rsidRPr="002D1454">
        <w:t xml:space="preserve">en 2014 ont été évaluées à </w:t>
      </w:r>
      <w:r w:rsidR="002541C4" w:rsidRPr="002D1454">
        <w:t>13,493</w:t>
      </w:r>
      <w:r w:rsidRPr="002D1454">
        <w:t xml:space="preserve">milliards de FCFA soit </w:t>
      </w:r>
      <w:r w:rsidR="00634982" w:rsidRPr="002D1454">
        <w:t>3,</w:t>
      </w:r>
      <w:r w:rsidR="009F3DEC" w:rsidRPr="002D1454">
        <w:t>36</w:t>
      </w:r>
      <w:r w:rsidRPr="002D1454">
        <w:t xml:space="preserve">% des dépenses courantes de santé et </w:t>
      </w:r>
      <w:r w:rsidR="00625D22" w:rsidRPr="002D1454">
        <w:t>46,13</w:t>
      </w:r>
      <w:r w:rsidRPr="002D1454">
        <w:t>% par rapport aux dépenses des maladies infectieuses et parasitaires ;</w:t>
      </w:r>
    </w:p>
    <w:p w:rsidR="006740B9" w:rsidRPr="002D1454" w:rsidRDefault="006740B9" w:rsidP="00C63457">
      <w:pPr>
        <w:pStyle w:val="Paragraphedeliste"/>
        <w:numPr>
          <w:ilvl w:val="0"/>
          <w:numId w:val="22"/>
        </w:numPr>
        <w:autoSpaceDE/>
        <w:autoSpaceDN/>
        <w:adjustRightInd/>
        <w:spacing w:after="0" w:line="312" w:lineRule="auto"/>
        <w:ind w:left="426"/>
      </w:pPr>
      <w:r w:rsidRPr="002D1454">
        <w:t xml:space="preserve">Les dépenses liées à la santé de la reproduction représentent </w:t>
      </w:r>
      <w:r w:rsidR="00711E0B" w:rsidRPr="002D1454">
        <w:t xml:space="preserve"> 40,052</w:t>
      </w:r>
      <w:r w:rsidRPr="002D1454">
        <w:t xml:space="preserve">milliards de FCFA soit </w:t>
      </w:r>
      <w:r w:rsidR="00711E0B" w:rsidRPr="002D1454">
        <w:t>9,9</w:t>
      </w:r>
      <w:r w:rsidRPr="002D1454">
        <w:t xml:space="preserve">8% des dépenses courantes de la santé en 2014 ; parmi ces dépenses les affections </w:t>
      </w:r>
      <w:r w:rsidR="00BD7D7A" w:rsidRPr="002D1454">
        <w:t xml:space="preserve">maternelles </w:t>
      </w:r>
      <w:r w:rsidRPr="002D1454">
        <w:t xml:space="preserve">viennent en première position avec </w:t>
      </w:r>
      <w:r w:rsidR="00BD7D7A" w:rsidRPr="002D1454">
        <w:t>77,71</w:t>
      </w:r>
      <w:r w:rsidRPr="002D1454">
        <w:t>%</w:t>
      </w:r>
      <w:r w:rsidR="00711E0B" w:rsidRPr="002D1454">
        <w:t> </w:t>
      </w:r>
      <w:r w:rsidR="00156F6E" w:rsidRPr="002D1454">
        <w:t>; suivies</w:t>
      </w:r>
      <w:r w:rsidRPr="002D1454">
        <w:t xml:space="preserve"> des affections </w:t>
      </w:r>
      <w:r w:rsidR="00BD7D7A" w:rsidRPr="002D1454">
        <w:t xml:space="preserve">périnatales </w:t>
      </w:r>
      <w:r w:rsidRPr="002D1454">
        <w:t xml:space="preserve">avec </w:t>
      </w:r>
      <w:r w:rsidR="00BD7D7A" w:rsidRPr="002D1454">
        <w:t xml:space="preserve">22,28 </w:t>
      </w:r>
      <w:r w:rsidRPr="002D1454">
        <w:t>%.</w:t>
      </w:r>
    </w:p>
    <w:p w:rsidR="006740B9" w:rsidRDefault="006740B9">
      <w:pPr>
        <w:spacing w:after="200" w:line="276" w:lineRule="auto"/>
        <w:sectPr w:rsidR="006740B9" w:rsidSect="0015639D">
          <w:pgSz w:w="12240" w:h="15840"/>
          <w:pgMar w:top="1417" w:right="1417" w:bottom="1417" w:left="1417" w:header="340" w:footer="0" w:gutter="0"/>
          <w:pgNumType w:fmt="lowerRoman" w:start="1"/>
          <w:cols w:space="720"/>
          <w:docGrid w:linePitch="326"/>
        </w:sectPr>
      </w:pPr>
    </w:p>
    <w:p w:rsidR="006740B9" w:rsidRPr="0044670F" w:rsidRDefault="006740B9" w:rsidP="006740B9">
      <w:pPr>
        <w:pStyle w:val="Titre1"/>
        <w:ind w:left="720"/>
      </w:pPr>
      <w:r w:rsidRPr="0044670F">
        <w:t>Introduction</w:t>
      </w:r>
    </w:p>
    <w:p w:rsidR="006740B9" w:rsidRPr="0044670F" w:rsidRDefault="006740B9" w:rsidP="006740B9">
      <w:pPr>
        <w:spacing w:line="312" w:lineRule="auto"/>
        <w:rPr>
          <w:lang w:val="fr-SN"/>
        </w:rPr>
      </w:pPr>
      <w:r>
        <w:rPr>
          <w:lang w:val="fr-SN"/>
        </w:rPr>
        <w:t>L’Organisation Mondiale de la S</w:t>
      </w:r>
      <w:r w:rsidRPr="0044670F">
        <w:rPr>
          <w:lang w:val="fr-SN"/>
        </w:rPr>
        <w:t>anté (OMS) et d’autres partenaires du secteur de la santé</w:t>
      </w:r>
      <w:r w:rsidR="009721AB">
        <w:rPr>
          <w:lang w:val="fr-SN"/>
        </w:rPr>
        <w:t xml:space="preserve"> </w:t>
      </w:r>
      <w:r w:rsidRPr="0044670F">
        <w:rPr>
          <w:lang w:val="fr-SN"/>
        </w:rPr>
        <w:t>recommandent vivement de recueillir et d’utiliser des données financières fiables afin de renforcer les politiques de santé. Les Comptes de la Santé constituent une des voies pour y parvenir.</w:t>
      </w:r>
    </w:p>
    <w:p w:rsidR="006740B9" w:rsidRPr="0044670F" w:rsidRDefault="006740B9" w:rsidP="006740B9">
      <w:pPr>
        <w:spacing w:line="312" w:lineRule="auto"/>
        <w:rPr>
          <w:lang w:val="fr-SN"/>
        </w:rPr>
      </w:pPr>
      <w:r w:rsidRPr="0044670F">
        <w:rPr>
          <w:lang w:val="fr-SN"/>
        </w:rPr>
        <w:t xml:space="preserve">En effet, les Comptes de la Santé (CS)  permettent de faire une </w:t>
      </w:r>
      <w:r>
        <w:rPr>
          <w:lang w:val="fr-SN"/>
        </w:rPr>
        <w:t>estim</w:t>
      </w:r>
      <w:r w:rsidRPr="0044670F">
        <w:rPr>
          <w:lang w:val="fr-SN"/>
        </w:rPr>
        <w:t>ation chiffrée des dépenses de santé. Ils visent entre autres à :</w:t>
      </w:r>
    </w:p>
    <w:p w:rsidR="006740B9" w:rsidRPr="0044670F" w:rsidRDefault="006740B9" w:rsidP="00C63457">
      <w:pPr>
        <w:pStyle w:val="Paragraphedeliste"/>
        <w:numPr>
          <w:ilvl w:val="0"/>
          <w:numId w:val="16"/>
        </w:numPr>
        <w:tabs>
          <w:tab w:val="clear" w:pos="720"/>
          <w:tab w:val="num" w:pos="426"/>
        </w:tabs>
        <w:autoSpaceDE/>
        <w:autoSpaceDN/>
        <w:adjustRightInd/>
        <w:spacing w:after="0" w:line="312" w:lineRule="auto"/>
        <w:ind w:left="426"/>
      </w:pPr>
      <w:r w:rsidRPr="00DB74C9">
        <w:rPr>
          <w:lang w:val="fr-SN"/>
        </w:rPr>
        <w:t xml:space="preserve">Contribuer à l’élaboration et à l’ajustement des politiques de santé en permettant aux </w:t>
      </w:r>
      <w:r>
        <w:rPr>
          <w:lang w:val="fr-SN"/>
        </w:rPr>
        <w:t>responsable</w:t>
      </w:r>
      <w:r w:rsidRPr="00DB74C9">
        <w:rPr>
          <w:lang w:val="fr-SN"/>
        </w:rPr>
        <w:t xml:space="preserve">s de prendre des décisions en matière de santé en étant mieux informés et d’éviter de faire des choix politiques sur la base des estimations erronées pouvant avoir des conséquences néfastes ; </w:t>
      </w:r>
    </w:p>
    <w:p w:rsidR="006740B9" w:rsidRPr="0044670F" w:rsidRDefault="006740B9" w:rsidP="00C63457">
      <w:pPr>
        <w:pStyle w:val="Paragraphedeliste"/>
        <w:numPr>
          <w:ilvl w:val="0"/>
          <w:numId w:val="16"/>
        </w:numPr>
        <w:tabs>
          <w:tab w:val="clear" w:pos="720"/>
          <w:tab w:val="num" w:pos="426"/>
        </w:tabs>
        <w:autoSpaceDE/>
        <w:autoSpaceDN/>
        <w:adjustRightInd/>
        <w:spacing w:after="0" w:line="312" w:lineRule="auto"/>
        <w:ind w:left="426"/>
      </w:pPr>
      <w:r w:rsidRPr="00DB74C9">
        <w:rPr>
          <w:lang w:val="fr-SN"/>
        </w:rPr>
        <w:t>Mettre à la disposition des donateurs des informations utiles</w:t>
      </w:r>
      <w:r>
        <w:rPr>
          <w:lang w:val="fr-SN"/>
        </w:rPr>
        <w:t xml:space="preserve"> et pertinentes</w:t>
      </w:r>
      <w:r w:rsidRPr="00DB74C9">
        <w:rPr>
          <w:lang w:val="fr-SN"/>
        </w:rPr>
        <w:t xml:space="preserve"> pour leurs décisions quant au montant de leur appui financier et à son affectation aux différents programmes ou activités ;</w:t>
      </w:r>
    </w:p>
    <w:p w:rsidR="006740B9" w:rsidRPr="0044670F" w:rsidRDefault="006740B9" w:rsidP="00C63457">
      <w:pPr>
        <w:pStyle w:val="Paragraphedeliste"/>
        <w:numPr>
          <w:ilvl w:val="0"/>
          <w:numId w:val="16"/>
        </w:numPr>
        <w:tabs>
          <w:tab w:val="clear" w:pos="720"/>
          <w:tab w:val="num" w:pos="426"/>
        </w:tabs>
        <w:autoSpaceDE/>
        <w:autoSpaceDN/>
        <w:adjustRightInd/>
        <w:spacing w:after="0" w:line="312" w:lineRule="auto"/>
        <w:ind w:left="426"/>
      </w:pPr>
      <w:r w:rsidRPr="00DB74C9">
        <w:rPr>
          <w:lang w:val="fr-SN"/>
        </w:rPr>
        <w:t>Faire des comparaisons entre pays de mêmes caractéristiques socio-économiques et en tirer des leçons ;</w:t>
      </w:r>
    </w:p>
    <w:p w:rsidR="006740B9" w:rsidRPr="00DB74C9" w:rsidRDefault="006740B9" w:rsidP="00C63457">
      <w:pPr>
        <w:pStyle w:val="Paragraphedeliste"/>
        <w:numPr>
          <w:ilvl w:val="0"/>
          <w:numId w:val="16"/>
        </w:numPr>
        <w:tabs>
          <w:tab w:val="clear" w:pos="720"/>
          <w:tab w:val="num" w:pos="426"/>
        </w:tabs>
        <w:autoSpaceDE/>
        <w:autoSpaceDN/>
        <w:adjustRightInd/>
        <w:spacing w:line="312" w:lineRule="auto"/>
        <w:ind w:left="426"/>
        <w:rPr>
          <w:lang w:val="fr-SN"/>
        </w:rPr>
      </w:pPr>
      <w:r w:rsidRPr="00DB74C9">
        <w:rPr>
          <w:lang w:val="fr-SN"/>
        </w:rPr>
        <w:t>Mettre à la disposition des chercheurs nationaux et internationaux des informations utiles pour leurs travaux de recherche sur le financement de la santé.</w:t>
      </w:r>
    </w:p>
    <w:p w:rsidR="006740B9" w:rsidRPr="0044670F" w:rsidRDefault="006740B9" w:rsidP="006740B9">
      <w:pPr>
        <w:spacing w:line="312" w:lineRule="auto"/>
        <w:rPr>
          <w:lang w:val="fr-SN"/>
        </w:rPr>
      </w:pPr>
      <w:r w:rsidRPr="0044670F">
        <w:rPr>
          <w:lang w:val="fr-SN"/>
        </w:rPr>
        <w:t>Le Mali a réalisé des Comptes Nationaux de la Santé (CNS) bien avant l’application de la nomenclature universelle dans les pays en développement : les</w:t>
      </w:r>
      <w:r w:rsidR="009721AB">
        <w:rPr>
          <w:lang w:val="fr-SN"/>
        </w:rPr>
        <w:t xml:space="preserve"> </w:t>
      </w:r>
      <w:r w:rsidRPr="0044670F">
        <w:rPr>
          <w:lang w:val="fr-SN"/>
        </w:rPr>
        <w:t>premiers</w:t>
      </w:r>
      <w:r w:rsidR="009721AB">
        <w:rPr>
          <w:lang w:val="fr-SN"/>
        </w:rPr>
        <w:t xml:space="preserve"> </w:t>
      </w:r>
      <w:r w:rsidRPr="0044670F">
        <w:rPr>
          <w:lang w:val="fr-SN"/>
        </w:rPr>
        <w:t>ont été réalisés en 1989 et les deuxièmes</w:t>
      </w:r>
      <w:r w:rsidR="009721AB">
        <w:rPr>
          <w:lang w:val="fr-SN"/>
        </w:rPr>
        <w:t xml:space="preserve"> </w:t>
      </w:r>
      <w:r w:rsidRPr="0044670F">
        <w:rPr>
          <w:lang w:val="fr-SN"/>
        </w:rPr>
        <w:t xml:space="preserve">en 1992. Ces comptes ont été réalisés dans le cadre de la recherche sur le financement de la santé. Après l’application de la nomenclature universelle dans les pays en développement à partir de 2003, le Mali </w:t>
      </w:r>
      <w:r>
        <w:rPr>
          <w:lang w:val="fr-SN"/>
        </w:rPr>
        <w:t xml:space="preserve"> est à son troisième</w:t>
      </w:r>
      <w:r w:rsidRPr="0044670F">
        <w:rPr>
          <w:lang w:val="fr-SN"/>
        </w:rPr>
        <w:t xml:space="preserve"> exercice</w:t>
      </w:r>
      <w:r>
        <w:rPr>
          <w:lang w:val="fr-SN"/>
        </w:rPr>
        <w:t>. Les éditions 2013 et 2014 ont été réalisées suivant la méthodologie SHA 2011</w:t>
      </w:r>
      <w:r w:rsidRPr="0044670F">
        <w:rPr>
          <w:lang w:val="fr-SN"/>
        </w:rPr>
        <w:t>.</w:t>
      </w:r>
    </w:p>
    <w:p w:rsidR="006740B9" w:rsidRPr="0044670F" w:rsidRDefault="006740B9" w:rsidP="006740B9">
      <w:pPr>
        <w:spacing w:line="312" w:lineRule="auto"/>
        <w:rPr>
          <w:lang w:val="fr-SN"/>
        </w:rPr>
      </w:pPr>
      <w:r w:rsidRPr="0044670F">
        <w:rPr>
          <w:lang w:val="fr-SN"/>
        </w:rPr>
        <w:t xml:space="preserve">L’outil de production (HAPT) et l’outil d’analyse (HAAT) des comptes de la santé  ont été mis à la disposition des équipes CS pour le traitement et l’analyse des données. Ces outils ont été élaborés dans un souci d’harmonisation des approches méthodologiques, de réduction des coûts et délais de production et d’institutionnalisation des CS. </w:t>
      </w:r>
    </w:p>
    <w:p w:rsidR="006740B9" w:rsidRPr="0044670F" w:rsidRDefault="006740B9" w:rsidP="006740B9">
      <w:pPr>
        <w:spacing w:line="312" w:lineRule="auto"/>
        <w:rPr>
          <w:lang w:val="fr-SN"/>
        </w:rPr>
      </w:pPr>
      <w:r w:rsidRPr="0044670F">
        <w:rPr>
          <w:lang w:val="fr-SN"/>
        </w:rPr>
        <w:t>Le présent rapport permettra aux décideurs des politiques de santé, aux chercheurs, aux acteurs du système de santé et partenaires techniques et financiers de disposer de façon permanente des réponses fiables aux questions telles que</w:t>
      </w:r>
      <w:r w:rsidRPr="0044670F">
        <w:rPr>
          <w:b/>
          <w:lang w:val="fr-SN"/>
        </w:rPr>
        <w:t> </w:t>
      </w:r>
      <w:r w:rsidRPr="0044670F">
        <w:rPr>
          <w:lang w:val="fr-SN"/>
        </w:rPr>
        <w:t>:</w:t>
      </w:r>
    </w:p>
    <w:p w:rsidR="006740B9" w:rsidRPr="0044670F" w:rsidRDefault="006740B9" w:rsidP="006740B9">
      <w:pPr>
        <w:pStyle w:val="Paragraphedeliste"/>
        <w:numPr>
          <w:ilvl w:val="0"/>
          <w:numId w:val="18"/>
        </w:numPr>
        <w:autoSpaceDE/>
        <w:autoSpaceDN/>
        <w:adjustRightInd/>
        <w:spacing w:after="0" w:line="312" w:lineRule="auto"/>
        <w:ind w:left="426"/>
        <w:jc w:val="left"/>
      </w:pPr>
      <w:r w:rsidRPr="0044670F">
        <w:t>D’où proviennent les fonds affectés au financement du secteur de la santé ?</w:t>
      </w:r>
    </w:p>
    <w:p w:rsidR="006740B9" w:rsidRPr="0044670F" w:rsidRDefault="006740B9" w:rsidP="006740B9">
      <w:pPr>
        <w:pStyle w:val="Paragraphedeliste"/>
        <w:numPr>
          <w:ilvl w:val="0"/>
          <w:numId w:val="18"/>
        </w:numPr>
        <w:autoSpaceDE/>
        <w:autoSpaceDN/>
        <w:adjustRightInd/>
        <w:spacing w:after="0" w:line="312" w:lineRule="auto"/>
        <w:ind w:left="426"/>
        <w:jc w:val="left"/>
      </w:pPr>
      <w:r w:rsidRPr="0044670F">
        <w:t>Qui gèrent ces fonds ?</w:t>
      </w:r>
    </w:p>
    <w:p w:rsidR="006740B9" w:rsidRPr="0044670F" w:rsidRDefault="006740B9" w:rsidP="006740B9">
      <w:pPr>
        <w:pStyle w:val="Paragraphedeliste"/>
        <w:numPr>
          <w:ilvl w:val="0"/>
          <w:numId w:val="18"/>
        </w:numPr>
        <w:autoSpaceDE/>
        <w:autoSpaceDN/>
        <w:adjustRightInd/>
        <w:spacing w:after="0" w:line="312" w:lineRule="auto"/>
        <w:ind w:left="426"/>
        <w:jc w:val="left"/>
      </w:pPr>
      <w:r w:rsidRPr="0044670F">
        <w:t>Quels prestataires ou types de prestataires reçoivent ces fonds?</w:t>
      </w:r>
    </w:p>
    <w:p w:rsidR="006740B9" w:rsidRPr="0044670F" w:rsidRDefault="006740B9" w:rsidP="006740B9">
      <w:pPr>
        <w:pStyle w:val="Paragraphedeliste"/>
        <w:numPr>
          <w:ilvl w:val="0"/>
          <w:numId w:val="18"/>
        </w:numPr>
        <w:autoSpaceDE/>
        <w:autoSpaceDN/>
        <w:adjustRightInd/>
        <w:spacing w:after="0" w:line="312" w:lineRule="auto"/>
        <w:ind w:left="426"/>
        <w:jc w:val="left"/>
      </w:pPr>
      <w:r w:rsidRPr="0044670F">
        <w:t>Quels types de services ont pu être fournis grâce à ces fonds ?</w:t>
      </w:r>
    </w:p>
    <w:p w:rsidR="006740B9" w:rsidRPr="0044670F" w:rsidRDefault="006740B9" w:rsidP="006740B9">
      <w:pPr>
        <w:spacing w:line="312" w:lineRule="auto"/>
        <w:rPr>
          <w:lang w:val="fr-SN"/>
        </w:rPr>
      </w:pPr>
      <w:r w:rsidRPr="0044670F">
        <w:rPr>
          <w:lang w:val="fr-SN"/>
        </w:rPr>
        <w:t xml:space="preserve">Par ailleurs, l’UEMOA a adopté lors de sa réunion des experts sectoriels de septembre 2014 à Ouagadougou, le projet de décision instituant la production des comptes de la santé dans ses Etats membres. </w:t>
      </w:r>
    </w:p>
    <w:p w:rsidR="006740B9" w:rsidRPr="0044670F" w:rsidRDefault="006740B9" w:rsidP="006740B9">
      <w:pPr>
        <w:spacing w:line="312" w:lineRule="auto"/>
        <w:rPr>
          <w:lang w:val="fr-SN"/>
        </w:rPr>
      </w:pPr>
      <w:r w:rsidRPr="0044670F">
        <w:rPr>
          <w:lang w:val="fr-SN"/>
        </w:rPr>
        <w:t>Le rapport  201</w:t>
      </w:r>
      <w:r>
        <w:rPr>
          <w:lang w:val="fr-SN"/>
        </w:rPr>
        <w:t>4</w:t>
      </w:r>
      <w:r w:rsidRPr="0044670F">
        <w:rPr>
          <w:lang w:val="fr-SN"/>
        </w:rPr>
        <w:t xml:space="preserve"> est structuré en trois grandes parties :</w:t>
      </w:r>
    </w:p>
    <w:p w:rsidR="006740B9" w:rsidRPr="0044670F" w:rsidRDefault="006740B9" w:rsidP="006740B9">
      <w:pPr>
        <w:pStyle w:val="Paragraphedeliste"/>
        <w:numPr>
          <w:ilvl w:val="0"/>
          <w:numId w:val="17"/>
        </w:numPr>
        <w:autoSpaceDE/>
        <w:autoSpaceDN/>
        <w:adjustRightInd/>
        <w:spacing w:after="0" w:line="312" w:lineRule="auto"/>
        <w:ind w:left="426"/>
        <w:jc w:val="left"/>
        <w:rPr>
          <w:sz w:val="22"/>
          <w:szCs w:val="22"/>
        </w:rPr>
      </w:pPr>
      <w:r w:rsidRPr="0044670F">
        <w:rPr>
          <w:lang w:val="fr-SN"/>
        </w:rPr>
        <w:t>La première partie présente le contexte du système de santé du pays et la méthodologie qui a servi à la production des comptes</w:t>
      </w:r>
      <w:r>
        <w:rPr>
          <w:lang w:val="fr-SN"/>
        </w:rPr>
        <w:t> ;</w:t>
      </w:r>
    </w:p>
    <w:p w:rsidR="006740B9" w:rsidRPr="0044670F" w:rsidRDefault="006740B9" w:rsidP="006740B9">
      <w:pPr>
        <w:pStyle w:val="Paragraphedeliste"/>
        <w:numPr>
          <w:ilvl w:val="0"/>
          <w:numId w:val="17"/>
        </w:numPr>
        <w:autoSpaceDE/>
        <w:autoSpaceDN/>
        <w:adjustRightInd/>
        <w:spacing w:after="0" w:line="312" w:lineRule="auto"/>
        <w:ind w:left="426"/>
        <w:jc w:val="left"/>
        <w:rPr>
          <w:sz w:val="22"/>
          <w:szCs w:val="22"/>
        </w:rPr>
      </w:pPr>
      <w:r w:rsidRPr="0044670F">
        <w:rPr>
          <w:lang w:val="fr-SN"/>
        </w:rPr>
        <w:t>La deuxième partie porte sur les résultats de ces comptes</w:t>
      </w:r>
      <w:r>
        <w:rPr>
          <w:lang w:val="fr-SN"/>
        </w:rPr>
        <w:t> ;</w:t>
      </w:r>
    </w:p>
    <w:p w:rsidR="006740B9" w:rsidRPr="0044670F" w:rsidRDefault="006740B9" w:rsidP="006740B9">
      <w:pPr>
        <w:pStyle w:val="Paragraphedeliste"/>
        <w:numPr>
          <w:ilvl w:val="0"/>
          <w:numId w:val="17"/>
        </w:numPr>
        <w:autoSpaceDE/>
        <w:autoSpaceDN/>
        <w:adjustRightInd/>
        <w:spacing w:after="0" w:line="312" w:lineRule="auto"/>
        <w:ind w:left="426"/>
        <w:jc w:val="left"/>
        <w:rPr>
          <w:sz w:val="22"/>
          <w:szCs w:val="22"/>
        </w:rPr>
      </w:pPr>
      <w:r w:rsidRPr="0044670F">
        <w:rPr>
          <w:lang w:val="fr-SN"/>
        </w:rPr>
        <w:t>Enfin, la troisième présente l’état des dépenses sur le paludisme, la tuberculose, le VIH et du SIDA, et la santé de la reproduction</w:t>
      </w:r>
      <w:r w:rsidRPr="0044670F">
        <w:rPr>
          <w:rFonts w:eastAsiaTheme="minorHAnsi"/>
          <w:lang w:eastAsia="en-US"/>
        </w:rPr>
        <w:t>.</w:t>
      </w:r>
    </w:p>
    <w:p w:rsidR="006740B9" w:rsidRDefault="006740B9" w:rsidP="006740B9">
      <w:pPr>
        <w:spacing w:after="200" w:line="276" w:lineRule="auto"/>
      </w:pPr>
      <w:r>
        <w:br w:type="page"/>
      </w:r>
    </w:p>
    <w:p w:rsidR="006740B9" w:rsidRDefault="006740B9" w:rsidP="006740B9">
      <w:pPr>
        <w:pStyle w:val="Titre1"/>
        <w:ind w:left="720" w:hanging="360"/>
      </w:pPr>
      <w:r>
        <w:t>Objectifs</w:t>
      </w:r>
    </w:p>
    <w:p w:rsidR="006740B9" w:rsidRDefault="006740B9" w:rsidP="006740B9">
      <w:pPr>
        <w:spacing w:line="312" w:lineRule="auto"/>
      </w:pPr>
      <w:r>
        <w:t>Les objectifs des Comptes de la Santé 2014 sont :</w:t>
      </w:r>
    </w:p>
    <w:p w:rsidR="006740B9" w:rsidRDefault="006740B9" w:rsidP="006740B9">
      <w:pPr>
        <w:pStyle w:val="Paragraphedeliste"/>
        <w:numPr>
          <w:ilvl w:val="0"/>
          <w:numId w:val="23"/>
        </w:numPr>
        <w:autoSpaceDE/>
        <w:autoSpaceDN/>
        <w:adjustRightInd/>
        <w:spacing w:after="0" w:line="312" w:lineRule="auto"/>
        <w:ind w:left="426"/>
        <w:jc w:val="left"/>
      </w:pPr>
      <w:r>
        <w:t>Produire les principaux tableaux des Comptes de la Santé permettant de dégager les flux des dépenses de santé entre les différents acteurs du système que sont, les sources de financement, les agents de financement, les prestataires de soins de santé et les différentes fonctions de soins de santé ;</w:t>
      </w:r>
    </w:p>
    <w:p w:rsidR="004C1BB5" w:rsidRDefault="006740B9" w:rsidP="00947090">
      <w:pPr>
        <w:pStyle w:val="Paragraphedeliste"/>
        <w:numPr>
          <w:ilvl w:val="0"/>
          <w:numId w:val="23"/>
        </w:numPr>
        <w:autoSpaceDE/>
        <w:autoSpaceDN/>
        <w:adjustRightInd/>
        <w:spacing w:after="0" w:line="312" w:lineRule="auto"/>
        <w:ind w:left="426"/>
        <w:jc w:val="left"/>
      </w:pPr>
      <w:r>
        <w:t>Analyser l’efficience des financements publics entre les zones de pauvreté du Mali ;</w:t>
      </w:r>
    </w:p>
    <w:p w:rsidR="0052480B" w:rsidRDefault="006740B9" w:rsidP="00947090">
      <w:pPr>
        <w:pStyle w:val="Paragraphedeliste"/>
        <w:numPr>
          <w:ilvl w:val="0"/>
          <w:numId w:val="23"/>
        </w:numPr>
        <w:autoSpaceDE/>
        <w:autoSpaceDN/>
        <w:adjustRightInd/>
        <w:spacing w:after="0" w:line="312" w:lineRule="auto"/>
        <w:ind w:left="426"/>
        <w:jc w:val="left"/>
      </w:pPr>
      <w:r>
        <w:t>Faire des recommandations permettant d’améliorer le système de financement des soins et services des différents programmes de santé.</w:t>
      </w:r>
      <w:r w:rsidR="0052480B">
        <w:br w:type="page"/>
      </w:r>
    </w:p>
    <w:p w:rsidR="004948E1" w:rsidRPr="0044670F" w:rsidRDefault="00E72F8E" w:rsidP="00587784">
      <w:pPr>
        <w:spacing w:line="312" w:lineRule="auto"/>
      </w:pPr>
      <w:r>
        <w:rPr>
          <w:noProof/>
          <w:lang w:eastAsia="fr-FR"/>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Organigramme : Bande perforée 8" o:spid="_x0000_s1029" type="#_x0000_t122" style="position:absolute;left:0;text-align:left;margin-left:0;margin-top:0;width:462pt;height:69.75pt;z-index:251657728;visibility:visible;mso-position-horizontal:center;mso-position-horizontal-relative:margin;mso-position-vertical:center;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vkkwIAAFsFAAAOAAAAZHJzL2Uyb0RvYy54bWysVM1uEzEQviPxDpbvdJOQtGHVTRVSFSFF&#10;bUSLena8dnbV9Q9jJ7vhabjyGvBijL0/LbTigLhYtme+8cx83/j8olEVOQhwpdEZHZ+MKBGam7zU&#10;u4x+vrt6M6fEeaZzVhktMnoUjl4sXr86r20qJqYwVS6AYBDt0tpmtPDepknieCEUcyfGCo1GaUAx&#10;j0fYJTmwGqOrKpmMRqdJbSC3YLhwDm8vWyNdxPhSCu5vpHTCkyqjmJuPK8R1G9Zkcc7SHTBblLxL&#10;g/1DFoqVGh8dQl0yz8geymehVMnBOCP9CTcqMVKWXMQasJrx6I9qbgtmRawFm+Ps0Cb3/8Ly68MG&#10;SJlnFInSTCFFN7BjusSeKCV+fEvJe2RPECsAWfj5XZB5aFptXYrYW7uBULaza8MfHBqS3yzh4Dqf&#10;RoIKvlg0aSIDx4EB0XjC8XI2Pz2bjpAojrb5fDafzMJrCUt7tAXnPwijSNhkVFamXhUM/GavUTP5&#10;XdsxlrLD2vkW2kO65Np8Ymb+WImQUqU/CYldwAwmkcaoP7GqgBwYKid/GHdpRM8AkWVVDaDxS6DK&#10;96DON8BE1OQAHL0EfHxt8I4vGu0HoCq1gb+DZevfV93WGsr2zbaJlL/tmdya/IgyANPOh7P8qsT2&#10;rpnzGwY4EMgIDrm/wSV0PKOm21FSGPj60n3wR52ilZIaByyj7suegaCk+qhRwe/G02mYyHiYzs4m&#10;eICnlu1Ti96rlUEmxvidWB63wd9X/VaCUff4FyzDq2hiKAeDg8499IeVbwcfdczFchndcAot82t9&#10;a3kIHvoc5HLX3DOwncY8qvPa9MP4TFqtb0Bqs9x7I8uou9Dptq8dAzjBUcndbxO+iKfn6PX4Jy5+&#10;AQAA//8DAFBLAwQUAAYACAAAACEAPjRJytsAAAAFAQAADwAAAGRycy9kb3ducmV2LnhtbEyPUUvD&#10;QBCE34X+h2MLvtlLUxUbcylFNIgIYtMfcM1tk9DcXnp3beO/d/VFXxaGGWa/yVej7cUZfegcKZjP&#10;EhBItTMdNQq21cvNA4gQNRndO0IFXxhgVUyucp0Zd6FPPG9iI7iEQqYVtDEOmZShbtHqMHMDEnt7&#10;562OLH0jjdcXLre9TJPkXlrdEX9o9YBPLdaHzckqKLfVmIZh8f78sT76iFX5Vr2WSl1Px/UjiIhj&#10;/AvDDz6jQ8FMO3ciE0SvgIfE38veMr1luePQYnkHssjlf/riGwAA//8DAFBLAQItABQABgAIAAAA&#10;IQC2gziS/gAAAOEBAAATAAAAAAAAAAAAAAAAAAAAAABbQ29udGVudF9UeXBlc10ueG1sUEsBAi0A&#10;FAAGAAgAAAAhADj9If/WAAAAlAEAAAsAAAAAAAAAAAAAAAAALwEAAF9yZWxzLy5yZWxzUEsBAi0A&#10;FAAGAAgAAAAhAOIlK+STAgAAWwUAAA4AAAAAAAAAAAAAAAAALgIAAGRycy9lMm9Eb2MueG1sUEsB&#10;Ai0AFAAGAAgAAAAhAD40ScrbAAAABQEAAA8AAAAAAAAAAAAAAAAA7QQAAGRycy9kb3ducmV2Lnht&#10;bFBLBQYAAAAABAAEAPMAAAD1BQAAAAA=&#10;" fillcolor="white [3201]" strokecolor="black [3200]" strokeweight="2pt">
            <v:path arrowok="t"/>
            <v:textbox>
              <w:txbxContent>
                <w:p w:rsidR="009721AB" w:rsidRPr="00E913F6" w:rsidRDefault="009721AB" w:rsidP="00286A2E">
                  <w:pPr>
                    <w:spacing w:line="312" w:lineRule="auto"/>
                    <w:ind w:left="1416" w:firstLine="708"/>
                    <w:rPr>
                      <w:color w:val="000000" w:themeColor="text1"/>
                      <w:sz w:val="48"/>
                    </w:rPr>
                  </w:pPr>
                  <w:r w:rsidRPr="00E913F6">
                    <w:rPr>
                      <w:color w:val="000000" w:themeColor="text1"/>
                      <w:sz w:val="48"/>
                    </w:rPr>
                    <w:t>PREMIERE PARTIE</w:t>
                  </w:r>
                </w:p>
                <w:p w:rsidR="009721AB" w:rsidRDefault="009721AB" w:rsidP="00286A2E">
                  <w:pPr>
                    <w:jc w:val="center"/>
                  </w:pPr>
                </w:p>
              </w:txbxContent>
            </v:textbox>
            <w10:wrap type="square" anchorx="margin" anchory="margin"/>
          </v:shape>
        </w:pict>
      </w:r>
      <w:r w:rsidR="004948E1" w:rsidRPr="0044670F">
        <w:br w:type="page"/>
      </w:r>
    </w:p>
    <w:p w:rsidR="00852673" w:rsidRPr="0044670F" w:rsidRDefault="0052480B" w:rsidP="005F315A">
      <w:pPr>
        <w:pStyle w:val="Titre1"/>
        <w:numPr>
          <w:ilvl w:val="0"/>
          <w:numId w:val="37"/>
        </w:numPr>
      </w:pPr>
      <w:bookmarkStart w:id="7" w:name="_Toc413941207"/>
      <w:r w:rsidRPr="0052480B">
        <w:t>Généralités</w:t>
      </w:r>
      <w:bookmarkEnd w:id="7"/>
    </w:p>
    <w:p w:rsidR="00B9166B" w:rsidRPr="00D04E78" w:rsidRDefault="00B9166B" w:rsidP="005F315A">
      <w:pPr>
        <w:pStyle w:val="Titre2"/>
        <w:numPr>
          <w:ilvl w:val="1"/>
          <w:numId w:val="37"/>
        </w:numPr>
      </w:pPr>
      <w:bookmarkStart w:id="8" w:name="_Toc413941208"/>
      <w:r w:rsidRPr="00D04E78">
        <w:t>Présentation générale du Mali</w:t>
      </w:r>
      <w:bookmarkEnd w:id="8"/>
    </w:p>
    <w:p w:rsidR="00B9166B" w:rsidRPr="0044670F" w:rsidRDefault="00B9166B" w:rsidP="00587784">
      <w:pPr>
        <w:spacing w:line="312" w:lineRule="auto"/>
      </w:pPr>
      <w:r w:rsidRPr="0044670F">
        <w:t xml:space="preserve">Pays sahélien, situé au centre de l'Afrique de l'ouest, le Mali </w:t>
      </w:r>
      <w:r w:rsidR="00242D43" w:rsidRPr="0044670F">
        <w:t>est un pays continental</w:t>
      </w:r>
      <w:r w:rsidRPr="0044670F">
        <w:t xml:space="preserve">. D'une superficie de 1.241.238 km2, le pays partage ses frontières avec sept pays : l'Algérie au nord ; la Mauritanie au nord-ouest ; le Sénégal à l'ouest ; la Guinée-Conakry au sud-ouest ; la Côte d'Ivoire au sud ; le Burkina au sud-est ; le Niger à l'est. Le Mali est divisé en trois grandes zones climatiques du sud au nord : la zone soudanienne et soudano-guinéenne (25% de la superficie), la zone sahélienne (50% du territoire) et le désert saharien (25% de la superficie). La pluviométrie diminue du sud au nord allant </w:t>
      </w:r>
      <w:r w:rsidR="00625D22" w:rsidRPr="00C63457">
        <w:t>de 1300 mm</w:t>
      </w:r>
      <w:r w:rsidRPr="0044670F">
        <w:t xml:space="preserve"> en zone soudano-guinéenne à moins de </w:t>
      </w:r>
      <w:r w:rsidR="00625D22" w:rsidRPr="00C63457">
        <w:t>200mm</w:t>
      </w:r>
      <w:r w:rsidRPr="0044670F">
        <w:t xml:space="preserve"> en zone sahélienne. A l'absence de façade maritime, s'ajoute l'enclavement interne, lié à la faiblesse des infrastructures de communication. Le relief est peu accidenté. Le pays est arrosé par deux grands fleuves (Niger et Sénégal) et leurs affluents. </w:t>
      </w:r>
      <w:r w:rsidR="006F0525" w:rsidRPr="0044670F">
        <w:t>La</w:t>
      </w:r>
      <w:r w:rsidRPr="0044670F">
        <w:t xml:space="preserve"> population du Mali </w:t>
      </w:r>
      <w:r w:rsidR="007A5A48" w:rsidRPr="0044670F">
        <w:t xml:space="preserve">en </w:t>
      </w:r>
      <w:r w:rsidR="001F4ECD" w:rsidRPr="0044670F">
        <w:t>201</w:t>
      </w:r>
      <w:r w:rsidR="001F4ECD">
        <w:t>4</w:t>
      </w:r>
      <w:r w:rsidRPr="0044670F">
        <w:t>est</w:t>
      </w:r>
      <w:r w:rsidR="007A5A48" w:rsidRPr="0044670F">
        <w:t xml:space="preserve"> estimée à</w:t>
      </w:r>
      <w:r w:rsidR="001F4ECD">
        <w:rPr>
          <w:rFonts w:eastAsia="Times New Roman"/>
          <w:lang w:eastAsia="fr-FR"/>
        </w:rPr>
        <w:t>17.</w:t>
      </w:r>
      <w:r w:rsidR="00622A04">
        <w:rPr>
          <w:rFonts w:eastAsia="Times New Roman"/>
          <w:lang w:eastAsia="fr-FR"/>
        </w:rPr>
        <w:t>3</w:t>
      </w:r>
      <w:r w:rsidR="007A5A48" w:rsidRPr="0044670F">
        <w:rPr>
          <w:rFonts w:eastAsia="Times New Roman"/>
          <w:lang w:eastAsia="fr-FR"/>
        </w:rPr>
        <w:t xml:space="preserve"> millions </w:t>
      </w:r>
      <w:r w:rsidRPr="0044670F">
        <w:t xml:space="preserve">d'habitants. Elle a été multipliée par près </w:t>
      </w:r>
      <w:r w:rsidRPr="005048AE">
        <w:t xml:space="preserve">de </w:t>
      </w:r>
      <w:r w:rsidR="00625D22" w:rsidRPr="00C63457">
        <w:t>1,5</w:t>
      </w:r>
      <w:r w:rsidRPr="0044670F">
        <w:t xml:space="preserve"> depuis 1998, ce qui représente un taux de croissance annuel moyen de 3,6%. Les femmes représentent 50,4% de la population contre 49,6% pour les hommes.</w:t>
      </w:r>
    </w:p>
    <w:p w:rsidR="00B9166B" w:rsidRPr="0044670F" w:rsidRDefault="00B9166B" w:rsidP="005F315A">
      <w:pPr>
        <w:pStyle w:val="Titre2"/>
        <w:numPr>
          <w:ilvl w:val="1"/>
          <w:numId w:val="37"/>
        </w:numPr>
      </w:pPr>
      <w:bookmarkStart w:id="9" w:name="_Toc413941209"/>
      <w:r w:rsidRPr="0044670F">
        <w:t>Présentation du système de santé</w:t>
      </w:r>
      <w:bookmarkEnd w:id="9"/>
    </w:p>
    <w:p w:rsidR="00B9166B" w:rsidRPr="00143F95" w:rsidRDefault="00B9166B" w:rsidP="005F315A">
      <w:pPr>
        <w:pStyle w:val="Titre3"/>
        <w:numPr>
          <w:ilvl w:val="2"/>
          <w:numId w:val="37"/>
        </w:numPr>
      </w:pPr>
      <w:bookmarkStart w:id="10" w:name="_Toc413941210"/>
      <w:r w:rsidRPr="00143F95">
        <w:t>Organisation du système de santé au Mali</w:t>
      </w:r>
      <w:bookmarkEnd w:id="10"/>
    </w:p>
    <w:p w:rsidR="00B9166B" w:rsidRPr="0044670F" w:rsidRDefault="00B9166B" w:rsidP="00587784">
      <w:pPr>
        <w:spacing w:line="312" w:lineRule="auto"/>
      </w:pPr>
      <w:r w:rsidRPr="0044670F">
        <w:t>La politique sectorielle de santé du Mali a été bâtie sur une structure pyramidale dont le premier niveau est le Centre de Santé Communautaire (CSCOM). Le second niveau est le Centre de Santé de Référence (CSRéf). Le troisième et le quatrième niveau sont respectivement les hôpitaux régionaux et nationaux.</w:t>
      </w:r>
    </w:p>
    <w:p w:rsidR="0034279A" w:rsidRDefault="00B9166B" w:rsidP="00587784">
      <w:pPr>
        <w:spacing w:line="312" w:lineRule="auto"/>
      </w:pPr>
      <w:r w:rsidRPr="0044670F">
        <w:t xml:space="preserve">Au niveau du secteur public, il y a </w:t>
      </w:r>
      <w:r w:rsidR="007A5A48" w:rsidRPr="0044670F">
        <w:t>5</w:t>
      </w:r>
      <w:r w:rsidRPr="0044670F">
        <w:t xml:space="preserve"> hôpitaux nationaux </w:t>
      </w:r>
      <w:r w:rsidR="00C84A95" w:rsidRPr="0044670F">
        <w:t xml:space="preserve">tous des </w:t>
      </w:r>
      <w:r w:rsidR="007A5A48" w:rsidRPr="0044670F">
        <w:t>Centre</w:t>
      </w:r>
      <w:r w:rsidR="00C84A95" w:rsidRPr="0044670F">
        <w:t>s</w:t>
      </w:r>
      <w:r w:rsidR="007A5A48" w:rsidRPr="0044670F">
        <w:t xml:space="preserve"> Hospitalier</w:t>
      </w:r>
      <w:r w:rsidR="00C84A95" w:rsidRPr="0044670F">
        <w:t>s</w:t>
      </w:r>
      <w:r w:rsidR="007A5A48" w:rsidRPr="0044670F">
        <w:t xml:space="preserve"> Universitaire</w:t>
      </w:r>
      <w:r w:rsidR="007562BC" w:rsidRPr="0044670F">
        <w:t>s</w:t>
      </w:r>
      <w:r w:rsidR="00C84A95" w:rsidRPr="0044670F">
        <w:t>(CHU)</w:t>
      </w:r>
      <w:r w:rsidR="00861572">
        <w:t> </w:t>
      </w:r>
      <w:r w:rsidR="006B59E5">
        <w:t>:</w:t>
      </w:r>
      <w:r w:rsidR="006B59E5" w:rsidRPr="0044670F">
        <w:t xml:space="preserve"> Gabriel</w:t>
      </w:r>
      <w:r w:rsidRPr="0044670F">
        <w:t xml:space="preserve"> Touré, </w:t>
      </w:r>
      <w:r w:rsidR="00861572">
        <w:t>P</w:t>
      </w:r>
      <w:r w:rsidR="00861572" w:rsidRPr="0044670F">
        <w:t xml:space="preserve">oint </w:t>
      </w:r>
      <w:r w:rsidRPr="0044670F">
        <w:t>G</w:t>
      </w:r>
      <w:r w:rsidR="007A5A48" w:rsidRPr="0044670F">
        <w:t>,IOTA, CNOS</w:t>
      </w:r>
      <w:r w:rsidR="009178B9" w:rsidRPr="0044670F">
        <w:t>, Hôpital du Mali</w:t>
      </w:r>
      <w:r w:rsidRPr="0044670F">
        <w:t xml:space="preserve"> et 7 hôpitaux régionaux.</w:t>
      </w:r>
    </w:p>
    <w:p w:rsidR="00197FF8" w:rsidRDefault="00C5442E" w:rsidP="00587784">
      <w:pPr>
        <w:spacing w:line="312" w:lineRule="auto"/>
      </w:pPr>
      <w:r>
        <w:t xml:space="preserve"> A ces hôpitaux</w:t>
      </w:r>
      <w:r w:rsidR="006B59E5">
        <w:t xml:space="preserve">, </w:t>
      </w:r>
      <w:r>
        <w:t>il faut ajouter l’hôpital mère-enfant « Le Luxembourg » qui a un statut particulier.</w:t>
      </w:r>
    </w:p>
    <w:p w:rsidR="00B9166B" w:rsidRPr="0044670F" w:rsidRDefault="002C3202" w:rsidP="00587784">
      <w:pPr>
        <w:spacing w:line="312" w:lineRule="auto"/>
      </w:pPr>
      <w:r w:rsidRPr="0044670F">
        <w:t xml:space="preserve">En </w:t>
      </w:r>
      <w:r w:rsidR="007A5A48" w:rsidRPr="0044670F">
        <w:t>dessous</w:t>
      </w:r>
      <w:r w:rsidR="00B9166B" w:rsidRPr="0044670F">
        <w:t xml:space="preserve"> des hôpitaux, se situent les Centres de Santé de Référence (CSRéf), liés aux directions régionales de la santé (DRS) et présents dans chaque </w:t>
      </w:r>
      <w:r w:rsidRPr="0044670F">
        <w:t>district sanitaire</w:t>
      </w:r>
      <w:r w:rsidR="00B9166B" w:rsidRPr="0044670F">
        <w:t>. Leur rôle est d’agir en tant que lien entre les Centres de Santé Communautaires (CSCom) et les hôpitaux.</w:t>
      </w:r>
    </w:p>
    <w:p w:rsidR="00B9166B" w:rsidRPr="0044670F" w:rsidRDefault="00B9166B" w:rsidP="00587784">
      <w:pPr>
        <w:spacing w:line="312" w:lineRule="auto"/>
      </w:pPr>
      <w:r w:rsidRPr="0044670F">
        <w:t>La pyramide sanitaire fonctionne par référence</w:t>
      </w:r>
      <w:r w:rsidR="00C00C2F">
        <w:t> :premier niveau</w:t>
      </w:r>
      <w:r w:rsidR="001D2895">
        <w:t xml:space="preserve"> </w:t>
      </w:r>
      <w:r w:rsidR="00C00C2F">
        <w:t>(</w:t>
      </w:r>
      <w:r w:rsidRPr="0044670F">
        <w:t>CSCom</w:t>
      </w:r>
      <w:r w:rsidR="00C00C2F">
        <w:t>)</w:t>
      </w:r>
      <w:r w:rsidRPr="0044670F">
        <w:t xml:space="preserve">, </w:t>
      </w:r>
      <w:r w:rsidR="00C00C2F">
        <w:t>deuxième niveau</w:t>
      </w:r>
      <w:r w:rsidR="001D2895">
        <w:t xml:space="preserve"> </w:t>
      </w:r>
      <w:r w:rsidR="00C00C2F">
        <w:t>(</w:t>
      </w:r>
      <w:r w:rsidRPr="0044670F">
        <w:t>CSRéf</w:t>
      </w:r>
      <w:r w:rsidR="00C00C2F">
        <w:t>)</w:t>
      </w:r>
      <w:r w:rsidRPr="0044670F">
        <w:t>,</w:t>
      </w:r>
      <w:r w:rsidR="00C00C2F">
        <w:t>troisième niveau(</w:t>
      </w:r>
      <w:r w:rsidRPr="0044670F">
        <w:t>hôpitaux).</w:t>
      </w:r>
    </w:p>
    <w:p w:rsidR="00B9166B" w:rsidRPr="0044670F" w:rsidRDefault="00B9166B" w:rsidP="00587784">
      <w:pPr>
        <w:spacing w:line="312" w:lineRule="auto"/>
      </w:pPr>
      <w:r w:rsidRPr="0044670F">
        <w:t>Les CSCom sont gérés par des Associations de Santé Communautaire (ASACO).</w:t>
      </w:r>
    </w:p>
    <w:p w:rsidR="00B9166B" w:rsidRPr="0044670F" w:rsidRDefault="00B9166B" w:rsidP="00587784">
      <w:pPr>
        <w:spacing w:line="312" w:lineRule="auto"/>
        <w:rPr>
          <w:sz w:val="28"/>
        </w:rPr>
      </w:pPr>
      <w:r w:rsidRPr="0044670F">
        <w:t>A chaque niveau du système de santé, le recouvrement des coûts est mis en place pour les consultations, les médicaments et tous les autres produits nécessaires pour les traitements.</w:t>
      </w:r>
    </w:p>
    <w:p w:rsidR="00143F95" w:rsidRDefault="00DE11BA" w:rsidP="00143F95">
      <w:pPr>
        <w:spacing w:line="312" w:lineRule="auto"/>
        <w:rPr>
          <w:sz w:val="22"/>
        </w:rPr>
      </w:pPr>
      <w:r w:rsidRPr="0044670F">
        <w:t>L’avènement de la libéralisation de l’exercice privé de la profession médicale a conduit à</w:t>
      </w:r>
      <w:r w:rsidR="00B9166B" w:rsidRPr="0044670F">
        <w:t xml:space="preserve"> la création de cliniques, de cabinets et de laboratoires privés.</w:t>
      </w:r>
    </w:p>
    <w:p w:rsidR="00B9166B" w:rsidRPr="00143F95" w:rsidRDefault="00143F95" w:rsidP="005F315A">
      <w:pPr>
        <w:pStyle w:val="Titre3"/>
        <w:numPr>
          <w:ilvl w:val="2"/>
          <w:numId w:val="37"/>
        </w:numPr>
        <w:rPr>
          <w:sz w:val="22"/>
        </w:rPr>
      </w:pPr>
      <w:bookmarkStart w:id="11" w:name="_Toc413941211"/>
      <w:r>
        <w:rPr>
          <w:sz w:val="22"/>
        </w:rPr>
        <w:t>C</w:t>
      </w:r>
      <w:r w:rsidR="00B9166B" w:rsidRPr="0044670F">
        <w:t>ircuit du médicament au Mali</w:t>
      </w:r>
      <w:bookmarkEnd w:id="11"/>
    </w:p>
    <w:p w:rsidR="00B9166B" w:rsidRPr="0044670F" w:rsidRDefault="00B9166B" w:rsidP="00587784">
      <w:pPr>
        <w:spacing w:line="312" w:lineRule="auto"/>
      </w:pPr>
      <w:r w:rsidRPr="0044670F">
        <w:t xml:space="preserve">Le secteur public reçoit ses approvisionnements de la Pharmacie Populaire du Mali (PPM) basée à Bamako. La PPM fournit des médicaments génériques à tous les niveaux </w:t>
      </w:r>
      <w:r w:rsidR="004D2061" w:rsidRPr="0044670F">
        <w:t>d</w:t>
      </w:r>
      <w:r w:rsidR="004D2061">
        <w:t>u</w:t>
      </w:r>
      <w:r w:rsidR="009721AB">
        <w:t xml:space="preserve"> </w:t>
      </w:r>
      <w:r w:rsidR="0034279A" w:rsidRPr="0044670F">
        <w:t>secteur public</w:t>
      </w:r>
      <w:r w:rsidR="009721AB">
        <w:t xml:space="preserve"> </w:t>
      </w:r>
      <w:r w:rsidRPr="0044670F">
        <w:t xml:space="preserve">de la santé via les magasins régionaux </w:t>
      </w:r>
      <w:r w:rsidR="0034279A">
        <w:t>et leurs démembrements</w:t>
      </w:r>
      <w:r w:rsidR="006D48A6">
        <w:t>.</w:t>
      </w:r>
    </w:p>
    <w:p w:rsidR="00B9166B" w:rsidRPr="0044670F" w:rsidRDefault="00B9166B" w:rsidP="00587784">
      <w:pPr>
        <w:spacing w:line="312" w:lineRule="auto"/>
      </w:pPr>
      <w:r w:rsidRPr="0044670F">
        <w:t xml:space="preserve">Les besoins en médicaments sont exprimés aux niveaux les plus bas du système de santé (CSCom, CSRéf) puis sont remontés par étapes jusqu’à la PPM. </w:t>
      </w:r>
      <w:r w:rsidRPr="004F64C8">
        <w:t>Les réactifs</w:t>
      </w:r>
      <w:r w:rsidRPr="0044670F">
        <w:t xml:space="preserve"> de laboratoire sont fournis par </w:t>
      </w:r>
      <w:r w:rsidR="004F64C8">
        <w:t xml:space="preserve">la PPM et </w:t>
      </w:r>
      <w:r w:rsidRPr="0044670F">
        <w:t>le secteur privé.</w:t>
      </w:r>
    </w:p>
    <w:p w:rsidR="00B9166B" w:rsidRPr="0044670F" w:rsidRDefault="00B9166B" w:rsidP="00587784">
      <w:pPr>
        <w:spacing w:line="312" w:lineRule="auto"/>
      </w:pPr>
      <w:r w:rsidRPr="0044670F">
        <w:t xml:space="preserve">Le secteur privé fournit </w:t>
      </w:r>
      <w:r w:rsidRPr="00197FF8">
        <w:rPr>
          <w:color w:val="auto"/>
        </w:rPr>
        <w:t>les médicaments en spécialité, le</w:t>
      </w:r>
      <w:r w:rsidRPr="0044670F">
        <w:t xml:space="preserve"> matériel de soin et les réactifs de laboratoire. Le circuit privé est très bien développé avec de très grosses structures comme Laborex et MultiM approvisionnant l’ensemble du Mali.</w:t>
      </w:r>
    </w:p>
    <w:p w:rsidR="00143F95" w:rsidRDefault="00B9166B" w:rsidP="005F315A">
      <w:pPr>
        <w:pStyle w:val="Titre3"/>
        <w:numPr>
          <w:ilvl w:val="2"/>
          <w:numId w:val="37"/>
        </w:numPr>
      </w:pPr>
      <w:bookmarkStart w:id="12" w:name="_Toc413941212"/>
      <w:r w:rsidRPr="0044670F">
        <w:t>Situation sur les politiques de gratuité</w:t>
      </w:r>
      <w:bookmarkEnd w:id="12"/>
    </w:p>
    <w:p w:rsidR="00B9166B" w:rsidRPr="00143F95" w:rsidRDefault="00143F95" w:rsidP="005F315A">
      <w:pPr>
        <w:pStyle w:val="Titre4"/>
        <w:numPr>
          <w:ilvl w:val="3"/>
          <w:numId w:val="37"/>
        </w:numPr>
      </w:pPr>
      <w:r w:rsidRPr="00143F95">
        <w:t>C</w:t>
      </w:r>
      <w:r w:rsidR="00B9166B" w:rsidRPr="00143F95">
        <w:t>ésarienne</w:t>
      </w:r>
    </w:p>
    <w:p w:rsidR="00B9166B" w:rsidRPr="00DA0088" w:rsidRDefault="00B9166B" w:rsidP="001267F0">
      <w:pPr>
        <w:spacing w:after="0" w:line="312" w:lineRule="auto"/>
        <w:rPr>
          <w:color w:val="auto"/>
        </w:rPr>
      </w:pPr>
      <w:r w:rsidRPr="0044670F">
        <w:t>Dans le cadre de la gratuité de la césarienne</w:t>
      </w:r>
      <w:r w:rsidRPr="002932F3">
        <w:t xml:space="preserve">, </w:t>
      </w:r>
      <w:r w:rsidR="002932F3">
        <w:t>22465</w:t>
      </w:r>
      <w:r w:rsidRPr="0044670F">
        <w:t>intervent</w:t>
      </w:r>
      <w:r w:rsidR="00983D5F">
        <w:t>ions ont été réalisées soit un</w:t>
      </w:r>
      <w:r w:rsidRPr="0044670F">
        <w:t xml:space="preserve"> taux </w:t>
      </w:r>
      <w:r w:rsidRPr="00DA0088">
        <w:rPr>
          <w:color w:val="auto"/>
        </w:rPr>
        <w:t xml:space="preserve">de réalisation de la césarienne de </w:t>
      </w:r>
      <w:r w:rsidRPr="002932F3">
        <w:rPr>
          <w:color w:val="auto"/>
        </w:rPr>
        <w:t>2,</w:t>
      </w:r>
      <w:r w:rsidR="002932F3">
        <w:rPr>
          <w:color w:val="auto"/>
        </w:rPr>
        <w:t>59</w:t>
      </w:r>
      <w:r w:rsidRPr="002932F3">
        <w:rPr>
          <w:color w:val="auto"/>
        </w:rPr>
        <w:t>%</w:t>
      </w:r>
      <w:r w:rsidR="00806593" w:rsidRPr="002932F3">
        <w:rPr>
          <w:color w:val="auto"/>
        </w:rPr>
        <w:t xml:space="preserve"> en </w:t>
      </w:r>
      <w:r w:rsidR="002932F3" w:rsidRPr="002932F3">
        <w:rPr>
          <w:color w:val="auto"/>
        </w:rPr>
        <w:t>201</w:t>
      </w:r>
      <w:r w:rsidR="002932F3">
        <w:rPr>
          <w:color w:val="auto"/>
        </w:rPr>
        <w:t>4</w:t>
      </w:r>
      <w:r w:rsidR="00806593" w:rsidRPr="00DA0088">
        <w:rPr>
          <w:color w:val="auto"/>
        </w:rPr>
        <w:t xml:space="preserve">contre </w:t>
      </w:r>
      <w:r w:rsidR="00806593" w:rsidRPr="002932F3">
        <w:rPr>
          <w:color w:val="auto"/>
        </w:rPr>
        <w:t>2,</w:t>
      </w:r>
      <w:r w:rsidR="002932F3">
        <w:rPr>
          <w:color w:val="auto"/>
        </w:rPr>
        <w:t>3</w:t>
      </w:r>
      <w:r w:rsidR="00030881">
        <w:rPr>
          <w:color w:val="auto"/>
        </w:rPr>
        <w:t xml:space="preserve"> % </w:t>
      </w:r>
      <w:r w:rsidR="00806593" w:rsidRPr="002932F3">
        <w:rPr>
          <w:color w:val="auto"/>
        </w:rPr>
        <w:t xml:space="preserve">en </w:t>
      </w:r>
      <w:r w:rsidR="002932F3" w:rsidRPr="002932F3">
        <w:rPr>
          <w:color w:val="auto"/>
        </w:rPr>
        <w:t>201</w:t>
      </w:r>
      <w:r w:rsidR="002932F3">
        <w:rPr>
          <w:color w:val="auto"/>
        </w:rPr>
        <w:t>3</w:t>
      </w:r>
      <w:r w:rsidRPr="00DA0088">
        <w:rPr>
          <w:color w:val="auto"/>
        </w:rPr>
        <w:t xml:space="preserve">. </w:t>
      </w:r>
    </w:p>
    <w:p w:rsidR="00B9166B" w:rsidRPr="0044670F" w:rsidRDefault="00B9166B" w:rsidP="00587784">
      <w:pPr>
        <w:spacing w:line="312" w:lineRule="auto"/>
      </w:pPr>
      <w:r w:rsidRPr="001136BF">
        <w:t>Il progresse timidement et reste en deçà des normes retenues par l’OMS (5%) pour un accès acceptable aux soins obstétricaux</w:t>
      </w:r>
      <w:r w:rsidRPr="0044670F">
        <w:t>.</w:t>
      </w:r>
    </w:p>
    <w:p w:rsidR="00B9166B" w:rsidRPr="0044670F" w:rsidRDefault="00B9166B" w:rsidP="005F315A">
      <w:pPr>
        <w:pStyle w:val="Titre4"/>
        <w:numPr>
          <w:ilvl w:val="3"/>
          <w:numId w:val="37"/>
        </w:numPr>
      </w:pPr>
      <w:r w:rsidRPr="0044670F">
        <w:t>Paludisme</w:t>
      </w:r>
    </w:p>
    <w:p w:rsidR="00B9166B" w:rsidRPr="0044670F" w:rsidRDefault="00B9166B" w:rsidP="00587784">
      <w:pPr>
        <w:spacing w:line="312" w:lineRule="auto"/>
      </w:pPr>
      <w:r w:rsidRPr="0044670F">
        <w:t>La gratuité en matière de lutte contre le paludisme s’est poursuivie en</w:t>
      </w:r>
      <w:r w:rsidR="0065046E">
        <w:t xml:space="preserve">2014 </w:t>
      </w:r>
      <w:r w:rsidR="006F0525">
        <w:t xml:space="preserve">et </w:t>
      </w:r>
      <w:r w:rsidRPr="0044670F">
        <w:t xml:space="preserve">s’est faite à travers  les formations sanitaires publiques et le niveau communautaire </w:t>
      </w:r>
      <w:r w:rsidR="006F0525">
        <w:t>et la p</w:t>
      </w:r>
      <w:r w:rsidR="006C0D84" w:rsidRPr="0044670F">
        <w:t xml:space="preserve">rise en charge </w:t>
      </w:r>
      <w:r w:rsidR="00855ACB" w:rsidRPr="0044670F">
        <w:t xml:space="preserve">des cas de paludisme </w:t>
      </w:r>
      <w:r w:rsidR="006C0D84" w:rsidRPr="0044670F">
        <w:t xml:space="preserve">à domicile </w:t>
      </w:r>
      <w:r w:rsidRPr="0044670F">
        <w:t xml:space="preserve">(PECADOM). </w:t>
      </w:r>
    </w:p>
    <w:p w:rsidR="00B9166B" w:rsidRPr="0044670F" w:rsidRDefault="00B9166B" w:rsidP="00587784">
      <w:pPr>
        <w:spacing w:line="312" w:lineRule="auto"/>
      </w:pPr>
      <w:r w:rsidRPr="0044670F">
        <w:t>El</w:t>
      </w:r>
      <w:r w:rsidR="00EA5BD8">
        <w:t>le a concerné les Combinaisons T</w:t>
      </w:r>
      <w:r w:rsidRPr="0044670F">
        <w:t xml:space="preserve">hérapeutiques  à base de dérivés d’Artémisinine (CTA), les kits de traitement du paludisme grave pour les enfants de moins de 5 ans et les femmes enceintes, les </w:t>
      </w:r>
      <w:r w:rsidR="006C0D84" w:rsidRPr="0044670F">
        <w:t>test</w:t>
      </w:r>
      <w:r w:rsidR="00030881">
        <w:t>s</w:t>
      </w:r>
      <w:r w:rsidR="006C0D84" w:rsidRPr="0044670F">
        <w:t xml:space="preserve"> de diagnostic rapide (</w:t>
      </w:r>
      <w:r w:rsidRPr="0044670F">
        <w:t>TDR</w:t>
      </w:r>
      <w:r w:rsidR="006C0D84" w:rsidRPr="0044670F">
        <w:t>)</w:t>
      </w:r>
      <w:r w:rsidRPr="0044670F">
        <w:t>, les réactifs de laboratoire pour la réalisation des GE /FM, la Sulfadoxine</w:t>
      </w:r>
      <w:r w:rsidR="009721AB">
        <w:t xml:space="preserve"> </w:t>
      </w:r>
      <w:r w:rsidRPr="0044670F">
        <w:t>Pyriméthamine (SP) pour le Traitement Préventif Intermittent (TPI) du paludisme chez la femme enceinte et les Moustiquaires Imprégnées d’Insecticides Longue Durée (MI</w:t>
      </w:r>
      <w:r w:rsidR="006C0D84" w:rsidRPr="0044670F">
        <w:t>I</w:t>
      </w:r>
      <w:r w:rsidRPr="0044670F">
        <w:t xml:space="preserve">LD)   pour la routine et  la couverture universelle. </w:t>
      </w:r>
    </w:p>
    <w:p w:rsidR="00B9166B" w:rsidRPr="0044670F" w:rsidRDefault="00B9166B" w:rsidP="00587784">
      <w:pPr>
        <w:spacing w:line="312" w:lineRule="auto"/>
      </w:pPr>
      <w:r w:rsidRPr="0044670F">
        <w:t>Selon les résultats de l’EDSM V (2012-2013), 84,4% des ménages disposaient d’au moins une moustiquaire imprégnée d’insecticide à longue durée d’action ; 69,9 % des enfants de moins de 5 ans dormaient sous moustiquaires imprégnées d’insecticides; 75,2 % des femmes enceintes dormaient sous moustiquaires imprégnées d’insecticide.</w:t>
      </w:r>
    </w:p>
    <w:p w:rsidR="00B9166B" w:rsidRPr="0044670F" w:rsidRDefault="00143F95" w:rsidP="005F315A">
      <w:pPr>
        <w:pStyle w:val="Titre4"/>
        <w:numPr>
          <w:ilvl w:val="3"/>
          <w:numId w:val="37"/>
        </w:numPr>
      </w:pPr>
      <w:r>
        <w:t xml:space="preserve">VIH et </w:t>
      </w:r>
      <w:r w:rsidR="00B9166B" w:rsidRPr="0044670F">
        <w:t>Sida</w:t>
      </w:r>
    </w:p>
    <w:p w:rsidR="00B9166B" w:rsidRPr="0044670F" w:rsidRDefault="00B9166B" w:rsidP="00587784">
      <w:pPr>
        <w:spacing w:line="312" w:lineRule="auto"/>
      </w:pPr>
      <w:r w:rsidRPr="0044670F">
        <w:t xml:space="preserve">La prise en charge des </w:t>
      </w:r>
      <w:r w:rsidR="006C0D84" w:rsidRPr="0044670F">
        <w:t>Personne</w:t>
      </w:r>
      <w:r w:rsidR="00263AE4">
        <w:t>s V</w:t>
      </w:r>
      <w:r w:rsidR="006C0D84" w:rsidRPr="0044670F">
        <w:t>ivant avec le VIH (</w:t>
      </w:r>
      <w:r w:rsidRPr="0044670F">
        <w:t>PV VIH</w:t>
      </w:r>
      <w:r w:rsidR="006C0D84" w:rsidRPr="0044670F">
        <w:t>)</w:t>
      </w:r>
      <w:r w:rsidRPr="0044670F">
        <w:t xml:space="preserve"> a été possible sur </w:t>
      </w:r>
      <w:r w:rsidR="00273D6C">
        <w:t>416</w:t>
      </w:r>
      <w:r w:rsidRPr="0044670F">
        <w:t xml:space="preserve">sites en </w:t>
      </w:r>
      <w:r w:rsidR="00321910" w:rsidRPr="0044670F">
        <w:t>201</w:t>
      </w:r>
      <w:r w:rsidR="00321910">
        <w:t>4</w:t>
      </w:r>
      <w:r w:rsidR="00273D6C">
        <w:t>.</w:t>
      </w:r>
    </w:p>
    <w:p w:rsidR="00B9166B" w:rsidRPr="0044670F" w:rsidRDefault="00B9166B" w:rsidP="00587784">
      <w:pPr>
        <w:spacing w:line="312" w:lineRule="auto"/>
      </w:pPr>
      <w:r w:rsidRPr="0044670F">
        <w:t xml:space="preserve">Dans le cadre de la PTME, </w:t>
      </w:r>
      <w:r w:rsidR="001E57D0">
        <w:t>1581</w:t>
      </w:r>
      <w:r w:rsidRPr="0044670F">
        <w:t xml:space="preserve">femmes enceintes ont été mises sous ARV ainsi que </w:t>
      </w:r>
      <w:r w:rsidR="001E57D0" w:rsidRPr="001E57D0">
        <w:t>10</w:t>
      </w:r>
      <w:r w:rsidR="001E57D0">
        <w:t>37</w:t>
      </w:r>
      <w:r w:rsidRPr="0044670F">
        <w:t xml:space="preserve">nouveau-nés contre </w:t>
      </w:r>
      <w:r w:rsidR="001E57D0">
        <w:t>1527</w:t>
      </w:r>
      <w:r w:rsidRPr="0044670F">
        <w:t xml:space="preserve">femmes enceintes </w:t>
      </w:r>
      <w:r w:rsidRPr="001E57D0">
        <w:t xml:space="preserve">et </w:t>
      </w:r>
      <w:r w:rsidR="001E57D0">
        <w:t>1029</w:t>
      </w:r>
      <w:r w:rsidRPr="0044670F">
        <w:t xml:space="preserve">nouveau-nés en </w:t>
      </w:r>
      <w:r w:rsidR="00B20A02" w:rsidRPr="0044670F">
        <w:t>201</w:t>
      </w:r>
      <w:r w:rsidR="00B20A02">
        <w:t>3</w:t>
      </w:r>
      <w:r w:rsidRPr="0044670F">
        <w:t>.</w:t>
      </w:r>
    </w:p>
    <w:p w:rsidR="00B9166B" w:rsidRPr="0044670F" w:rsidRDefault="00B9166B" w:rsidP="00413170">
      <w:pPr>
        <w:pStyle w:val="Titre2"/>
        <w:numPr>
          <w:ilvl w:val="1"/>
          <w:numId w:val="37"/>
        </w:numPr>
      </w:pPr>
      <w:bookmarkStart w:id="13" w:name="_Toc413941213"/>
      <w:r w:rsidRPr="0044670F">
        <w:t>Evolution des indicateurs de couverture</w:t>
      </w:r>
      <w:bookmarkEnd w:id="13"/>
    </w:p>
    <w:p w:rsidR="00F157C4" w:rsidRDefault="00B9166B" w:rsidP="00413170">
      <w:pPr>
        <w:spacing w:after="120" w:line="312" w:lineRule="auto"/>
      </w:pPr>
      <w:r w:rsidRPr="0044670F">
        <w:t>Le tableau</w:t>
      </w:r>
      <w:r w:rsidR="006E21D4">
        <w:t xml:space="preserve"> 1.</w:t>
      </w:r>
      <w:r w:rsidR="00744CE7">
        <w:t>3.</w:t>
      </w:r>
      <w:r w:rsidR="006E21D4">
        <w:t>1</w:t>
      </w:r>
      <w:r w:rsidRPr="0044670F">
        <w:t xml:space="preserve"> ci-dessous donne l’évolution des indicateurs de couverture de </w:t>
      </w:r>
      <w:r w:rsidR="006D5410" w:rsidRPr="0044670F">
        <w:t>200</w:t>
      </w:r>
      <w:r w:rsidR="006D5410">
        <w:t>7</w:t>
      </w:r>
      <w:r w:rsidRPr="0044670F">
        <w:t xml:space="preserve">à </w:t>
      </w:r>
      <w:r w:rsidR="006D5410" w:rsidRPr="0044670F">
        <w:t>201</w:t>
      </w:r>
      <w:r w:rsidR="006D5410">
        <w:t>4</w:t>
      </w:r>
      <w:r w:rsidRPr="0044670F">
        <w:t>.</w:t>
      </w:r>
    </w:p>
    <w:p w:rsidR="006C0D84" w:rsidRPr="006E21D4" w:rsidRDefault="00744CE7" w:rsidP="00744CE7">
      <w:pPr>
        <w:pStyle w:val="Lgende"/>
        <w:rPr>
          <w:color w:val="000000" w:themeColor="text1"/>
          <w:sz w:val="22"/>
          <w:szCs w:val="22"/>
        </w:rPr>
      </w:pPr>
      <w:bookmarkStart w:id="14" w:name="_Toc483991262"/>
      <w:r w:rsidRPr="00744CE7">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1.3</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1</w:t>
      </w:r>
      <w:r w:rsidR="00E72F8E">
        <w:rPr>
          <w:color w:val="000000" w:themeColor="text1"/>
          <w:sz w:val="22"/>
          <w:szCs w:val="22"/>
        </w:rPr>
        <w:fldChar w:fldCharType="end"/>
      </w:r>
      <w:r w:rsidR="006E21D4" w:rsidRPr="006E21D4">
        <w:rPr>
          <w:color w:val="000000" w:themeColor="text1"/>
          <w:sz w:val="22"/>
          <w:szCs w:val="22"/>
        </w:rPr>
        <w:t> : E</w:t>
      </w:r>
      <w:r w:rsidR="006C0D84" w:rsidRPr="006E21D4">
        <w:rPr>
          <w:color w:val="000000" w:themeColor="text1"/>
          <w:sz w:val="22"/>
          <w:szCs w:val="22"/>
        </w:rPr>
        <w:t>volution des indicateurs de couverture</w:t>
      </w:r>
      <w:bookmarkEnd w:id="14"/>
    </w:p>
    <w:tbl>
      <w:tblPr>
        <w:tblStyle w:val="TableauListe1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709"/>
        <w:gridCol w:w="709"/>
        <w:gridCol w:w="708"/>
        <w:gridCol w:w="709"/>
        <w:gridCol w:w="709"/>
        <w:gridCol w:w="709"/>
        <w:gridCol w:w="708"/>
        <w:gridCol w:w="709"/>
      </w:tblGrid>
      <w:tr w:rsidR="00D340D9" w:rsidRPr="00947090" w:rsidTr="00947090">
        <w:trPr>
          <w:cnfStyle w:val="100000000000"/>
          <w:trHeight w:val="20"/>
        </w:trPr>
        <w:tc>
          <w:tcPr>
            <w:cnfStyle w:val="001000000000"/>
            <w:tcW w:w="3510" w:type="dxa"/>
            <w:vAlign w:val="center"/>
            <w:hideMark/>
          </w:tcPr>
          <w:p w:rsidR="00D340D9" w:rsidRPr="00947090" w:rsidRDefault="00D340D9" w:rsidP="00947090">
            <w:pPr>
              <w:spacing w:after="0" w:line="240" w:lineRule="auto"/>
              <w:jc w:val="left"/>
              <w:rPr>
                <w:sz w:val="20"/>
                <w:szCs w:val="20"/>
              </w:rPr>
            </w:pPr>
            <w:r w:rsidRPr="00947090">
              <w:rPr>
                <w:sz w:val="20"/>
                <w:szCs w:val="20"/>
              </w:rPr>
              <w:t>Indicateurs</w:t>
            </w:r>
          </w:p>
        </w:tc>
        <w:tc>
          <w:tcPr>
            <w:tcW w:w="709" w:type="dxa"/>
            <w:vAlign w:val="center"/>
            <w:hideMark/>
          </w:tcPr>
          <w:p w:rsidR="00D340D9" w:rsidRPr="00947090" w:rsidRDefault="00D340D9" w:rsidP="00947090">
            <w:pPr>
              <w:spacing w:after="0" w:line="240" w:lineRule="auto"/>
              <w:jc w:val="center"/>
              <w:cnfStyle w:val="100000000000"/>
              <w:rPr>
                <w:sz w:val="20"/>
                <w:szCs w:val="20"/>
              </w:rPr>
            </w:pPr>
            <w:r w:rsidRPr="00947090">
              <w:rPr>
                <w:sz w:val="20"/>
                <w:szCs w:val="20"/>
              </w:rPr>
              <w:t>2007</w:t>
            </w:r>
          </w:p>
        </w:tc>
        <w:tc>
          <w:tcPr>
            <w:tcW w:w="709" w:type="dxa"/>
            <w:vAlign w:val="center"/>
            <w:hideMark/>
          </w:tcPr>
          <w:p w:rsidR="00D340D9" w:rsidRPr="00947090" w:rsidRDefault="00D340D9" w:rsidP="00947090">
            <w:pPr>
              <w:spacing w:after="0" w:line="240" w:lineRule="auto"/>
              <w:jc w:val="center"/>
              <w:cnfStyle w:val="100000000000"/>
              <w:rPr>
                <w:sz w:val="20"/>
                <w:szCs w:val="20"/>
              </w:rPr>
            </w:pPr>
            <w:r w:rsidRPr="00947090">
              <w:rPr>
                <w:sz w:val="20"/>
                <w:szCs w:val="20"/>
              </w:rPr>
              <w:t>2008</w:t>
            </w:r>
          </w:p>
        </w:tc>
        <w:tc>
          <w:tcPr>
            <w:tcW w:w="708" w:type="dxa"/>
            <w:vAlign w:val="center"/>
            <w:hideMark/>
          </w:tcPr>
          <w:p w:rsidR="00D340D9" w:rsidRPr="00947090" w:rsidRDefault="00D340D9" w:rsidP="00947090">
            <w:pPr>
              <w:spacing w:after="0" w:line="240" w:lineRule="auto"/>
              <w:jc w:val="center"/>
              <w:cnfStyle w:val="100000000000"/>
              <w:rPr>
                <w:sz w:val="20"/>
                <w:szCs w:val="20"/>
              </w:rPr>
            </w:pPr>
            <w:r w:rsidRPr="00947090">
              <w:rPr>
                <w:sz w:val="20"/>
                <w:szCs w:val="20"/>
              </w:rPr>
              <w:t>2009</w:t>
            </w:r>
          </w:p>
        </w:tc>
        <w:tc>
          <w:tcPr>
            <w:tcW w:w="709" w:type="dxa"/>
            <w:vAlign w:val="center"/>
            <w:hideMark/>
          </w:tcPr>
          <w:p w:rsidR="00D340D9" w:rsidRPr="00947090" w:rsidRDefault="00D340D9" w:rsidP="00947090">
            <w:pPr>
              <w:spacing w:after="0" w:line="240" w:lineRule="auto"/>
              <w:jc w:val="center"/>
              <w:cnfStyle w:val="100000000000"/>
              <w:rPr>
                <w:sz w:val="20"/>
                <w:szCs w:val="20"/>
              </w:rPr>
            </w:pPr>
            <w:r w:rsidRPr="00947090">
              <w:rPr>
                <w:sz w:val="20"/>
                <w:szCs w:val="20"/>
              </w:rPr>
              <w:t>2010</w:t>
            </w:r>
          </w:p>
        </w:tc>
        <w:tc>
          <w:tcPr>
            <w:tcW w:w="709" w:type="dxa"/>
            <w:vAlign w:val="center"/>
            <w:hideMark/>
          </w:tcPr>
          <w:p w:rsidR="00D340D9" w:rsidRPr="00947090" w:rsidRDefault="00D340D9" w:rsidP="00947090">
            <w:pPr>
              <w:spacing w:after="0" w:line="240" w:lineRule="auto"/>
              <w:jc w:val="center"/>
              <w:cnfStyle w:val="100000000000"/>
              <w:rPr>
                <w:sz w:val="20"/>
                <w:szCs w:val="20"/>
              </w:rPr>
            </w:pPr>
            <w:r w:rsidRPr="00947090">
              <w:rPr>
                <w:sz w:val="20"/>
                <w:szCs w:val="20"/>
              </w:rPr>
              <w:t>2011</w:t>
            </w:r>
          </w:p>
        </w:tc>
        <w:tc>
          <w:tcPr>
            <w:tcW w:w="709" w:type="dxa"/>
            <w:vAlign w:val="center"/>
            <w:hideMark/>
          </w:tcPr>
          <w:p w:rsidR="00D340D9" w:rsidRPr="00947090" w:rsidRDefault="00D340D9" w:rsidP="00947090">
            <w:pPr>
              <w:spacing w:after="0" w:line="240" w:lineRule="auto"/>
              <w:jc w:val="center"/>
              <w:cnfStyle w:val="100000000000"/>
              <w:rPr>
                <w:sz w:val="20"/>
                <w:szCs w:val="20"/>
              </w:rPr>
            </w:pPr>
            <w:r w:rsidRPr="00947090">
              <w:rPr>
                <w:sz w:val="20"/>
                <w:szCs w:val="20"/>
              </w:rPr>
              <w:t>2012</w:t>
            </w:r>
          </w:p>
        </w:tc>
        <w:tc>
          <w:tcPr>
            <w:tcW w:w="708" w:type="dxa"/>
            <w:vAlign w:val="center"/>
            <w:hideMark/>
          </w:tcPr>
          <w:p w:rsidR="00D340D9" w:rsidRPr="00947090" w:rsidRDefault="00D340D9" w:rsidP="00947090">
            <w:pPr>
              <w:spacing w:after="0" w:line="240" w:lineRule="auto"/>
              <w:jc w:val="center"/>
              <w:cnfStyle w:val="100000000000"/>
              <w:rPr>
                <w:sz w:val="20"/>
                <w:szCs w:val="20"/>
              </w:rPr>
            </w:pPr>
            <w:r w:rsidRPr="00947090">
              <w:rPr>
                <w:sz w:val="20"/>
                <w:szCs w:val="20"/>
              </w:rPr>
              <w:t>2013</w:t>
            </w:r>
          </w:p>
        </w:tc>
        <w:tc>
          <w:tcPr>
            <w:tcW w:w="709" w:type="dxa"/>
            <w:vAlign w:val="center"/>
          </w:tcPr>
          <w:p w:rsidR="00D340D9" w:rsidRPr="00947090" w:rsidRDefault="00D340D9" w:rsidP="00947090">
            <w:pPr>
              <w:spacing w:after="0" w:line="240" w:lineRule="auto"/>
              <w:jc w:val="center"/>
              <w:cnfStyle w:val="100000000000"/>
              <w:rPr>
                <w:sz w:val="20"/>
                <w:szCs w:val="20"/>
              </w:rPr>
            </w:pPr>
            <w:r w:rsidRPr="00947090">
              <w:rPr>
                <w:sz w:val="20"/>
                <w:szCs w:val="20"/>
              </w:rPr>
              <w:t>2014</w:t>
            </w:r>
          </w:p>
        </w:tc>
      </w:tr>
      <w:tr w:rsidR="00D340D9" w:rsidRPr="00947090" w:rsidTr="00947090">
        <w:trPr>
          <w:cnfStyle w:val="000000100000"/>
          <w:trHeight w:val="20"/>
        </w:trPr>
        <w:tc>
          <w:tcPr>
            <w:cnfStyle w:val="001000000000"/>
            <w:tcW w:w="3510" w:type="dxa"/>
            <w:vAlign w:val="center"/>
            <w:hideMark/>
          </w:tcPr>
          <w:p w:rsidR="00D340D9" w:rsidRPr="00947090" w:rsidRDefault="00D340D9" w:rsidP="00947090">
            <w:pPr>
              <w:spacing w:after="0" w:line="240" w:lineRule="auto"/>
              <w:jc w:val="left"/>
              <w:rPr>
                <w:sz w:val="20"/>
                <w:szCs w:val="20"/>
              </w:rPr>
            </w:pPr>
            <w:r w:rsidRPr="00947090">
              <w:rPr>
                <w:sz w:val="20"/>
                <w:szCs w:val="20"/>
              </w:rPr>
              <w:t>Nombre de CSCom fonctionnels</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826</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873</w:t>
            </w:r>
          </w:p>
        </w:tc>
        <w:tc>
          <w:tcPr>
            <w:tcW w:w="708"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993</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1050</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1086</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1134</w:t>
            </w:r>
          </w:p>
        </w:tc>
        <w:tc>
          <w:tcPr>
            <w:tcW w:w="708"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1170</w:t>
            </w:r>
          </w:p>
        </w:tc>
        <w:tc>
          <w:tcPr>
            <w:tcW w:w="709" w:type="dxa"/>
            <w:vAlign w:val="center"/>
          </w:tcPr>
          <w:p w:rsidR="00D340D9" w:rsidRPr="00947090" w:rsidRDefault="00DF04FA" w:rsidP="00947090">
            <w:pPr>
              <w:spacing w:after="0" w:line="240" w:lineRule="auto"/>
              <w:jc w:val="center"/>
              <w:cnfStyle w:val="000000100000"/>
              <w:rPr>
                <w:sz w:val="20"/>
                <w:szCs w:val="20"/>
              </w:rPr>
            </w:pPr>
            <w:r w:rsidRPr="00947090">
              <w:rPr>
                <w:sz w:val="20"/>
                <w:szCs w:val="20"/>
              </w:rPr>
              <w:t>1204</w:t>
            </w:r>
          </w:p>
        </w:tc>
      </w:tr>
      <w:tr w:rsidR="00D340D9" w:rsidRPr="00947090" w:rsidTr="00947090">
        <w:trPr>
          <w:trHeight w:val="20"/>
        </w:trPr>
        <w:tc>
          <w:tcPr>
            <w:cnfStyle w:val="001000000000"/>
            <w:tcW w:w="3510" w:type="dxa"/>
            <w:vAlign w:val="center"/>
            <w:hideMark/>
          </w:tcPr>
          <w:p w:rsidR="00D340D9" w:rsidRPr="00947090" w:rsidRDefault="00D340D9" w:rsidP="00947090">
            <w:pPr>
              <w:spacing w:after="0" w:line="240" w:lineRule="auto"/>
              <w:jc w:val="left"/>
              <w:rPr>
                <w:sz w:val="20"/>
                <w:szCs w:val="20"/>
              </w:rPr>
            </w:pPr>
            <w:r w:rsidRPr="00947090">
              <w:rPr>
                <w:sz w:val="20"/>
                <w:szCs w:val="20"/>
              </w:rPr>
              <w:t>PMA &lt; 5 Km (%)</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53</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58</w:t>
            </w:r>
          </w:p>
        </w:tc>
        <w:tc>
          <w:tcPr>
            <w:tcW w:w="708"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57</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58</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59</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56</w:t>
            </w:r>
          </w:p>
        </w:tc>
        <w:tc>
          <w:tcPr>
            <w:tcW w:w="708"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57</w:t>
            </w:r>
          </w:p>
        </w:tc>
        <w:tc>
          <w:tcPr>
            <w:tcW w:w="709" w:type="dxa"/>
            <w:vAlign w:val="center"/>
          </w:tcPr>
          <w:p w:rsidR="00D340D9" w:rsidRPr="00947090" w:rsidRDefault="00DF04FA" w:rsidP="00947090">
            <w:pPr>
              <w:spacing w:after="0" w:line="240" w:lineRule="auto"/>
              <w:jc w:val="center"/>
              <w:cnfStyle w:val="000000000000"/>
              <w:rPr>
                <w:sz w:val="20"/>
                <w:szCs w:val="20"/>
              </w:rPr>
            </w:pPr>
            <w:r w:rsidRPr="00947090">
              <w:rPr>
                <w:sz w:val="20"/>
                <w:szCs w:val="20"/>
              </w:rPr>
              <w:t>56</w:t>
            </w:r>
          </w:p>
        </w:tc>
      </w:tr>
      <w:tr w:rsidR="00D340D9" w:rsidRPr="00947090" w:rsidTr="00947090">
        <w:trPr>
          <w:cnfStyle w:val="000000100000"/>
          <w:trHeight w:val="20"/>
        </w:trPr>
        <w:tc>
          <w:tcPr>
            <w:cnfStyle w:val="001000000000"/>
            <w:tcW w:w="3510" w:type="dxa"/>
            <w:vAlign w:val="center"/>
            <w:hideMark/>
          </w:tcPr>
          <w:p w:rsidR="00D340D9" w:rsidRPr="00947090" w:rsidRDefault="00D340D9" w:rsidP="00947090">
            <w:pPr>
              <w:spacing w:after="0" w:line="240" w:lineRule="auto"/>
              <w:jc w:val="left"/>
              <w:rPr>
                <w:sz w:val="20"/>
                <w:szCs w:val="20"/>
              </w:rPr>
            </w:pPr>
            <w:r w:rsidRPr="00947090">
              <w:rPr>
                <w:sz w:val="20"/>
                <w:szCs w:val="20"/>
              </w:rPr>
              <w:t>PMA &lt; 15 Km (%)</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79</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80</w:t>
            </w:r>
          </w:p>
        </w:tc>
        <w:tc>
          <w:tcPr>
            <w:tcW w:w="708"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85</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88</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84</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85</w:t>
            </w:r>
          </w:p>
        </w:tc>
        <w:tc>
          <w:tcPr>
            <w:tcW w:w="708"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87</w:t>
            </w:r>
          </w:p>
        </w:tc>
        <w:tc>
          <w:tcPr>
            <w:tcW w:w="709" w:type="dxa"/>
            <w:vAlign w:val="center"/>
          </w:tcPr>
          <w:p w:rsidR="00D340D9" w:rsidRPr="00947090" w:rsidRDefault="00DF04FA" w:rsidP="00947090">
            <w:pPr>
              <w:spacing w:after="0" w:line="240" w:lineRule="auto"/>
              <w:jc w:val="center"/>
              <w:cnfStyle w:val="000000100000"/>
              <w:rPr>
                <w:sz w:val="20"/>
                <w:szCs w:val="20"/>
              </w:rPr>
            </w:pPr>
            <w:r w:rsidRPr="00947090">
              <w:rPr>
                <w:sz w:val="20"/>
                <w:szCs w:val="20"/>
              </w:rPr>
              <w:t>86</w:t>
            </w:r>
          </w:p>
        </w:tc>
      </w:tr>
      <w:tr w:rsidR="00D340D9" w:rsidRPr="00947090" w:rsidTr="00947090">
        <w:trPr>
          <w:trHeight w:val="20"/>
        </w:trPr>
        <w:tc>
          <w:tcPr>
            <w:cnfStyle w:val="001000000000"/>
            <w:tcW w:w="3510" w:type="dxa"/>
            <w:vAlign w:val="center"/>
            <w:hideMark/>
          </w:tcPr>
          <w:p w:rsidR="00D340D9" w:rsidRPr="00947090" w:rsidRDefault="00D340D9" w:rsidP="00947090">
            <w:pPr>
              <w:spacing w:after="0" w:line="240" w:lineRule="auto"/>
              <w:jc w:val="left"/>
              <w:rPr>
                <w:sz w:val="20"/>
                <w:szCs w:val="20"/>
              </w:rPr>
            </w:pPr>
            <w:r w:rsidRPr="00947090">
              <w:rPr>
                <w:sz w:val="20"/>
                <w:szCs w:val="20"/>
              </w:rPr>
              <w:t>Fréquentation (Nouveau Contact/Habitant/An)</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0,29</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0,29</w:t>
            </w:r>
          </w:p>
        </w:tc>
        <w:tc>
          <w:tcPr>
            <w:tcW w:w="708"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0,33</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0,33</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0,32</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0,31</w:t>
            </w:r>
          </w:p>
        </w:tc>
        <w:tc>
          <w:tcPr>
            <w:tcW w:w="708"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0.35</w:t>
            </w:r>
          </w:p>
        </w:tc>
        <w:tc>
          <w:tcPr>
            <w:tcW w:w="709" w:type="dxa"/>
            <w:vAlign w:val="center"/>
          </w:tcPr>
          <w:p w:rsidR="00D340D9" w:rsidRPr="00947090" w:rsidRDefault="000B11C0" w:rsidP="00947090">
            <w:pPr>
              <w:spacing w:after="0" w:line="240" w:lineRule="auto"/>
              <w:jc w:val="center"/>
              <w:cnfStyle w:val="000000000000"/>
              <w:rPr>
                <w:sz w:val="20"/>
                <w:szCs w:val="20"/>
              </w:rPr>
            </w:pPr>
            <w:r w:rsidRPr="00947090">
              <w:rPr>
                <w:sz w:val="20"/>
                <w:szCs w:val="20"/>
              </w:rPr>
              <w:t>0,38</w:t>
            </w:r>
          </w:p>
        </w:tc>
      </w:tr>
      <w:tr w:rsidR="00D340D9" w:rsidRPr="00947090" w:rsidTr="00947090">
        <w:trPr>
          <w:cnfStyle w:val="000000100000"/>
          <w:trHeight w:val="20"/>
        </w:trPr>
        <w:tc>
          <w:tcPr>
            <w:cnfStyle w:val="001000000000"/>
            <w:tcW w:w="3510" w:type="dxa"/>
            <w:vAlign w:val="center"/>
            <w:hideMark/>
          </w:tcPr>
          <w:p w:rsidR="00D340D9" w:rsidRPr="00947090" w:rsidRDefault="00D340D9" w:rsidP="00947090">
            <w:pPr>
              <w:spacing w:after="0" w:line="240" w:lineRule="auto"/>
              <w:jc w:val="left"/>
              <w:rPr>
                <w:sz w:val="20"/>
                <w:szCs w:val="20"/>
              </w:rPr>
            </w:pPr>
            <w:r w:rsidRPr="00947090">
              <w:rPr>
                <w:sz w:val="20"/>
                <w:szCs w:val="20"/>
              </w:rPr>
              <w:t>Consultations Prénatales (%)</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78</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82</w:t>
            </w:r>
          </w:p>
        </w:tc>
        <w:tc>
          <w:tcPr>
            <w:tcW w:w="708"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90</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79</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76</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68</w:t>
            </w:r>
          </w:p>
        </w:tc>
        <w:tc>
          <w:tcPr>
            <w:tcW w:w="708"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74</w:t>
            </w:r>
          </w:p>
        </w:tc>
        <w:tc>
          <w:tcPr>
            <w:tcW w:w="709" w:type="dxa"/>
            <w:vAlign w:val="center"/>
          </w:tcPr>
          <w:p w:rsidR="00D340D9" w:rsidRPr="00947090" w:rsidRDefault="000B11C0" w:rsidP="00947090">
            <w:pPr>
              <w:spacing w:after="0" w:line="240" w:lineRule="auto"/>
              <w:jc w:val="center"/>
              <w:cnfStyle w:val="000000100000"/>
              <w:rPr>
                <w:sz w:val="20"/>
                <w:szCs w:val="20"/>
              </w:rPr>
            </w:pPr>
            <w:r w:rsidRPr="00947090">
              <w:rPr>
                <w:sz w:val="20"/>
                <w:szCs w:val="20"/>
              </w:rPr>
              <w:t>78</w:t>
            </w:r>
          </w:p>
        </w:tc>
      </w:tr>
      <w:tr w:rsidR="00D340D9" w:rsidRPr="00947090" w:rsidTr="00947090">
        <w:trPr>
          <w:trHeight w:val="20"/>
        </w:trPr>
        <w:tc>
          <w:tcPr>
            <w:cnfStyle w:val="001000000000"/>
            <w:tcW w:w="3510" w:type="dxa"/>
            <w:vAlign w:val="center"/>
            <w:hideMark/>
          </w:tcPr>
          <w:p w:rsidR="00D340D9" w:rsidRPr="00947090" w:rsidRDefault="00D340D9" w:rsidP="00947090">
            <w:pPr>
              <w:spacing w:after="0" w:line="240" w:lineRule="auto"/>
              <w:jc w:val="left"/>
              <w:rPr>
                <w:sz w:val="20"/>
                <w:szCs w:val="20"/>
              </w:rPr>
            </w:pPr>
            <w:r w:rsidRPr="00947090">
              <w:rPr>
                <w:sz w:val="20"/>
                <w:szCs w:val="20"/>
              </w:rPr>
              <w:t>Taux d'Accouch. Assisté (%)</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58</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61</w:t>
            </w:r>
          </w:p>
        </w:tc>
        <w:tc>
          <w:tcPr>
            <w:tcW w:w="708"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64</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57</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58</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56</w:t>
            </w:r>
          </w:p>
        </w:tc>
        <w:tc>
          <w:tcPr>
            <w:tcW w:w="708"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55</w:t>
            </w:r>
          </w:p>
        </w:tc>
        <w:tc>
          <w:tcPr>
            <w:tcW w:w="709" w:type="dxa"/>
            <w:vAlign w:val="center"/>
          </w:tcPr>
          <w:p w:rsidR="00D340D9" w:rsidRPr="00947090" w:rsidRDefault="000B11C0" w:rsidP="00947090">
            <w:pPr>
              <w:spacing w:after="0" w:line="240" w:lineRule="auto"/>
              <w:jc w:val="center"/>
              <w:cnfStyle w:val="000000000000"/>
              <w:rPr>
                <w:sz w:val="20"/>
                <w:szCs w:val="20"/>
              </w:rPr>
            </w:pPr>
            <w:r w:rsidRPr="00947090">
              <w:rPr>
                <w:sz w:val="20"/>
                <w:szCs w:val="20"/>
              </w:rPr>
              <w:t>59</w:t>
            </w:r>
          </w:p>
        </w:tc>
      </w:tr>
      <w:tr w:rsidR="00D340D9" w:rsidRPr="00947090" w:rsidTr="00947090">
        <w:trPr>
          <w:cnfStyle w:val="000000100000"/>
          <w:trHeight w:val="20"/>
        </w:trPr>
        <w:tc>
          <w:tcPr>
            <w:cnfStyle w:val="001000000000"/>
            <w:tcW w:w="3510" w:type="dxa"/>
            <w:vAlign w:val="center"/>
            <w:hideMark/>
          </w:tcPr>
          <w:p w:rsidR="00D340D9" w:rsidRPr="00947090" w:rsidRDefault="00D340D9" w:rsidP="00947090">
            <w:pPr>
              <w:spacing w:after="0" w:line="240" w:lineRule="auto"/>
              <w:jc w:val="left"/>
              <w:rPr>
                <w:sz w:val="20"/>
                <w:szCs w:val="20"/>
              </w:rPr>
            </w:pPr>
            <w:r w:rsidRPr="00947090">
              <w:rPr>
                <w:sz w:val="20"/>
                <w:szCs w:val="20"/>
              </w:rPr>
              <w:t>DTCP3/Penta3 &lt;12mois (%)</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94</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94</w:t>
            </w:r>
          </w:p>
        </w:tc>
        <w:tc>
          <w:tcPr>
            <w:tcW w:w="708"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101</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92</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88</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88</w:t>
            </w:r>
          </w:p>
        </w:tc>
        <w:tc>
          <w:tcPr>
            <w:tcW w:w="708"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89</w:t>
            </w:r>
          </w:p>
        </w:tc>
        <w:tc>
          <w:tcPr>
            <w:tcW w:w="709" w:type="dxa"/>
            <w:vAlign w:val="center"/>
          </w:tcPr>
          <w:p w:rsidR="00D340D9" w:rsidRPr="00947090" w:rsidRDefault="000B11C0" w:rsidP="00947090">
            <w:pPr>
              <w:spacing w:after="0" w:line="240" w:lineRule="auto"/>
              <w:jc w:val="center"/>
              <w:cnfStyle w:val="000000100000"/>
              <w:rPr>
                <w:sz w:val="20"/>
                <w:szCs w:val="20"/>
              </w:rPr>
            </w:pPr>
            <w:r w:rsidRPr="00947090">
              <w:rPr>
                <w:sz w:val="20"/>
                <w:szCs w:val="20"/>
              </w:rPr>
              <w:t>99</w:t>
            </w:r>
          </w:p>
        </w:tc>
      </w:tr>
      <w:tr w:rsidR="00D340D9" w:rsidRPr="00947090" w:rsidTr="00947090">
        <w:trPr>
          <w:trHeight w:val="20"/>
        </w:trPr>
        <w:tc>
          <w:tcPr>
            <w:cnfStyle w:val="001000000000"/>
            <w:tcW w:w="3510" w:type="dxa"/>
            <w:vAlign w:val="center"/>
            <w:hideMark/>
          </w:tcPr>
          <w:p w:rsidR="00D340D9" w:rsidRPr="00947090" w:rsidRDefault="00D340D9" w:rsidP="00947090">
            <w:pPr>
              <w:spacing w:after="0" w:line="240" w:lineRule="auto"/>
              <w:jc w:val="left"/>
              <w:rPr>
                <w:sz w:val="20"/>
                <w:szCs w:val="20"/>
              </w:rPr>
            </w:pPr>
            <w:r w:rsidRPr="00947090">
              <w:rPr>
                <w:sz w:val="20"/>
                <w:szCs w:val="20"/>
              </w:rPr>
              <w:t>Taux d’utilisation des services PF</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4,17</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4,05</w:t>
            </w:r>
          </w:p>
        </w:tc>
        <w:tc>
          <w:tcPr>
            <w:tcW w:w="708"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4,55</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4,86</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6,13</w:t>
            </w:r>
          </w:p>
        </w:tc>
        <w:tc>
          <w:tcPr>
            <w:tcW w:w="709" w:type="dxa"/>
            <w:vAlign w:val="center"/>
            <w:hideMark/>
          </w:tcPr>
          <w:p w:rsidR="00D340D9" w:rsidRPr="00947090" w:rsidRDefault="00D340D9" w:rsidP="00947090">
            <w:pPr>
              <w:spacing w:after="0" w:line="240" w:lineRule="auto"/>
              <w:jc w:val="center"/>
              <w:cnfStyle w:val="000000000000"/>
              <w:rPr>
                <w:sz w:val="20"/>
                <w:szCs w:val="20"/>
              </w:rPr>
            </w:pPr>
            <w:r w:rsidRPr="00947090">
              <w:rPr>
                <w:sz w:val="20"/>
                <w:szCs w:val="20"/>
              </w:rPr>
              <w:t>5,79</w:t>
            </w:r>
          </w:p>
        </w:tc>
        <w:tc>
          <w:tcPr>
            <w:tcW w:w="708" w:type="dxa"/>
            <w:vAlign w:val="center"/>
            <w:hideMark/>
          </w:tcPr>
          <w:p w:rsidR="00D340D9" w:rsidRPr="00947090" w:rsidRDefault="00F36792" w:rsidP="00947090">
            <w:pPr>
              <w:spacing w:after="0" w:line="240" w:lineRule="auto"/>
              <w:jc w:val="center"/>
              <w:cnfStyle w:val="000000000000"/>
              <w:rPr>
                <w:sz w:val="20"/>
                <w:szCs w:val="20"/>
              </w:rPr>
            </w:pPr>
            <w:r w:rsidRPr="00947090">
              <w:rPr>
                <w:sz w:val="20"/>
                <w:szCs w:val="20"/>
              </w:rPr>
              <w:t>7,84</w:t>
            </w:r>
          </w:p>
        </w:tc>
        <w:tc>
          <w:tcPr>
            <w:tcW w:w="709" w:type="dxa"/>
            <w:vAlign w:val="center"/>
          </w:tcPr>
          <w:p w:rsidR="00D340D9" w:rsidRPr="00947090" w:rsidRDefault="000B11C0" w:rsidP="00947090">
            <w:pPr>
              <w:spacing w:after="0" w:line="240" w:lineRule="auto"/>
              <w:jc w:val="center"/>
              <w:cnfStyle w:val="000000000000"/>
              <w:rPr>
                <w:sz w:val="20"/>
                <w:szCs w:val="20"/>
              </w:rPr>
            </w:pPr>
            <w:r w:rsidRPr="00947090">
              <w:rPr>
                <w:sz w:val="20"/>
                <w:szCs w:val="20"/>
              </w:rPr>
              <w:t>10,5</w:t>
            </w:r>
          </w:p>
        </w:tc>
      </w:tr>
      <w:tr w:rsidR="00D340D9" w:rsidRPr="00947090" w:rsidTr="00947090">
        <w:trPr>
          <w:cnfStyle w:val="000000100000"/>
          <w:trHeight w:val="20"/>
        </w:trPr>
        <w:tc>
          <w:tcPr>
            <w:cnfStyle w:val="001000000000"/>
            <w:tcW w:w="3510" w:type="dxa"/>
            <w:vAlign w:val="center"/>
            <w:hideMark/>
          </w:tcPr>
          <w:p w:rsidR="00D340D9" w:rsidRPr="00947090" w:rsidRDefault="00D340D9" w:rsidP="00947090">
            <w:pPr>
              <w:spacing w:after="0" w:line="240" w:lineRule="auto"/>
              <w:jc w:val="left"/>
              <w:rPr>
                <w:sz w:val="20"/>
                <w:szCs w:val="20"/>
              </w:rPr>
            </w:pPr>
            <w:r w:rsidRPr="00947090">
              <w:rPr>
                <w:sz w:val="20"/>
                <w:szCs w:val="20"/>
              </w:rPr>
              <w:t>Taux de césarienne %</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2,1</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2,2</w:t>
            </w:r>
          </w:p>
        </w:tc>
        <w:tc>
          <w:tcPr>
            <w:tcW w:w="708"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2,3</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2,2</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2,4</w:t>
            </w:r>
          </w:p>
        </w:tc>
        <w:tc>
          <w:tcPr>
            <w:tcW w:w="709"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2,4</w:t>
            </w:r>
          </w:p>
        </w:tc>
        <w:tc>
          <w:tcPr>
            <w:tcW w:w="708" w:type="dxa"/>
            <w:vAlign w:val="center"/>
            <w:hideMark/>
          </w:tcPr>
          <w:p w:rsidR="00D340D9" w:rsidRPr="00947090" w:rsidRDefault="00D340D9" w:rsidP="00947090">
            <w:pPr>
              <w:spacing w:after="0" w:line="240" w:lineRule="auto"/>
              <w:jc w:val="center"/>
              <w:cnfStyle w:val="000000100000"/>
              <w:rPr>
                <w:sz w:val="20"/>
                <w:szCs w:val="20"/>
              </w:rPr>
            </w:pPr>
            <w:r w:rsidRPr="00947090">
              <w:rPr>
                <w:sz w:val="20"/>
                <w:szCs w:val="20"/>
              </w:rPr>
              <w:t>2,3</w:t>
            </w:r>
          </w:p>
        </w:tc>
        <w:tc>
          <w:tcPr>
            <w:tcW w:w="709" w:type="dxa"/>
            <w:vAlign w:val="center"/>
          </w:tcPr>
          <w:p w:rsidR="00D340D9" w:rsidRPr="00947090" w:rsidRDefault="000B11C0" w:rsidP="00947090">
            <w:pPr>
              <w:spacing w:after="0" w:line="240" w:lineRule="auto"/>
              <w:jc w:val="center"/>
              <w:cnfStyle w:val="000000100000"/>
              <w:rPr>
                <w:sz w:val="20"/>
                <w:szCs w:val="20"/>
              </w:rPr>
            </w:pPr>
            <w:r w:rsidRPr="00947090">
              <w:rPr>
                <w:sz w:val="20"/>
                <w:szCs w:val="20"/>
              </w:rPr>
              <w:t>2,59</w:t>
            </w:r>
          </w:p>
        </w:tc>
      </w:tr>
    </w:tbl>
    <w:p w:rsidR="006C0D84" w:rsidRPr="00F157C4" w:rsidRDefault="005A1E28" w:rsidP="00587784">
      <w:pPr>
        <w:spacing w:line="312" w:lineRule="auto"/>
        <w:rPr>
          <w:i/>
          <w:sz w:val="20"/>
          <w:szCs w:val="20"/>
        </w:rPr>
      </w:pPr>
      <w:r w:rsidRPr="00947090">
        <w:rPr>
          <w:b/>
          <w:i/>
          <w:color w:val="auto"/>
          <w:sz w:val="20"/>
          <w:szCs w:val="20"/>
        </w:rPr>
        <w:t>Source :</w:t>
      </w:r>
      <w:r w:rsidRPr="00947090">
        <w:rPr>
          <w:i/>
          <w:color w:val="auto"/>
          <w:sz w:val="20"/>
          <w:szCs w:val="20"/>
        </w:rPr>
        <w:t xml:space="preserve"> Annuaire</w:t>
      </w:r>
      <w:r w:rsidR="00FF449B">
        <w:rPr>
          <w:i/>
          <w:color w:val="auto"/>
          <w:sz w:val="20"/>
          <w:szCs w:val="20"/>
        </w:rPr>
        <w:t>s</w:t>
      </w:r>
      <w:r w:rsidRPr="00947090">
        <w:rPr>
          <w:i/>
          <w:color w:val="auto"/>
          <w:sz w:val="20"/>
          <w:szCs w:val="20"/>
        </w:rPr>
        <w:t xml:space="preserve"> SLIS</w:t>
      </w:r>
      <w:r w:rsidR="00FF449B">
        <w:rPr>
          <w:i/>
          <w:color w:val="auto"/>
          <w:sz w:val="20"/>
          <w:szCs w:val="20"/>
        </w:rPr>
        <w:t xml:space="preserve"> de</w:t>
      </w:r>
      <w:r w:rsidRPr="00947090">
        <w:rPr>
          <w:i/>
          <w:color w:val="auto"/>
          <w:sz w:val="20"/>
          <w:szCs w:val="20"/>
        </w:rPr>
        <w:t>2007</w:t>
      </w:r>
      <w:r w:rsidR="00FF449B">
        <w:rPr>
          <w:i/>
          <w:sz w:val="20"/>
          <w:szCs w:val="20"/>
        </w:rPr>
        <w:t xml:space="preserve"> à </w:t>
      </w:r>
      <w:r w:rsidR="000B11C0">
        <w:rPr>
          <w:i/>
          <w:sz w:val="20"/>
          <w:szCs w:val="20"/>
        </w:rPr>
        <w:t>2014</w:t>
      </w:r>
    </w:p>
    <w:p w:rsidR="00FF70E6" w:rsidRPr="0044670F" w:rsidRDefault="00B9166B" w:rsidP="00587784">
      <w:pPr>
        <w:spacing w:line="312" w:lineRule="auto"/>
      </w:pPr>
      <w:r w:rsidRPr="0044670F">
        <w:t xml:space="preserve">Le taux d’utilisation des services de PF est passé de </w:t>
      </w:r>
      <w:r w:rsidR="00A27394">
        <w:t>4,17</w:t>
      </w:r>
      <w:r w:rsidRPr="00FF449B">
        <w:t xml:space="preserve">% en </w:t>
      </w:r>
      <w:r w:rsidR="00A27394" w:rsidRPr="00FF449B">
        <w:t>20</w:t>
      </w:r>
      <w:r w:rsidR="00A27394">
        <w:t>07</w:t>
      </w:r>
      <w:r w:rsidRPr="00FF449B">
        <w:t xml:space="preserve">à </w:t>
      </w:r>
      <w:r w:rsidR="00A27394">
        <w:t>10,5</w:t>
      </w:r>
      <w:r w:rsidRPr="00FF449B">
        <w:t xml:space="preserve">% en </w:t>
      </w:r>
      <w:r w:rsidR="00BB7650" w:rsidRPr="00FF449B">
        <w:t>2014</w:t>
      </w:r>
      <w:r w:rsidRPr="00FF449B">
        <w:t xml:space="preserve">. </w:t>
      </w:r>
      <w:r w:rsidR="00767447">
        <w:t xml:space="preserve">On constate une  </w:t>
      </w:r>
      <w:r w:rsidR="00294413">
        <w:t>améliorat</w:t>
      </w:r>
      <w:r w:rsidR="00767447">
        <w:t>ion de la situation sur la période</w:t>
      </w:r>
      <w:r w:rsidRPr="00FF449B">
        <w:t>.</w:t>
      </w:r>
      <w:r w:rsidRPr="0044670F">
        <w:t xml:space="preserve"> Cette augmentation pourrait s’expliquer par les activités menées dans le cadre du repositionnement de la PF, entre autres activités : la sensibilisation, la disponibilité des produits contraceptifs</w:t>
      </w:r>
      <w:r w:rsidR="00321073">
        <w:t>,</w:t>
      </w:r>
      <w:r w:rsidRPr="0044670F">
        <w:t xml:space="preserve"> etc.</w:t>
      </w:r>
    </w:p>
    <w:p w:rsidR="00FF70E6" w:rsidRPr="0044670F" w:rsidRDefault="00B9166B" w:rsidP="00587784">
      <w:pPr>
        <w:spacing w:line="312" w:lineRule="auto"/>
      </w:pPr>
      <w:r w:rsidRPr="0044670F">
        <w:t>Le taux d’utilisation de la consultation prénatale a évolué de façon irrégulière de</w:t>
      </w:r>
      <w:r w:rsidR="00246469">
        <w:t xml:space="preserve"> 68 à 90 % entre</w:t>
      </w:r>
      <w:r w:rsidR="00DF04FA" w:rsidRPr="0044670F">
        <w:t>200</w:t>
      </w:r>
      <w:r w:rsidR="00DF04FA">
        <w:t>7</w:t>
      </w:r>
      <w:r w:rsidR="00246469">
        <w:t xml:space="preserve">et </w:t>
      </w:r>
      <w:r w:rsidR="00DF04FA" w:rsidRPr="0044670F">
        <w:t>201</w:t>
      </w:r>
      <w:r w:rsidR="00DF04FA">
        <w:t>4</w:t>
      </w:r>
      <w:r w:rsidR="002C7E9F">
        <w:t>.</w:t>
      </w:r>
    </w:p>
    <w:p w:rsidR="00B9166B" w:rsidRPr="0044670F" w:rsidRDefault="00B9166B" w:rsidP="00587784">
      <w:pPr>
        <w:spacing w:line="312" w:lineRule="auto"/>
      </w:pPr>
      <w:r w:rsidRPr="0044670F">
        <w:t xml:space="preserve">Le taux de consultations curatives </w:t>
      </w:r>
      <w:r w:rsidR="008C3B63">
        <w:t>est</w:t>
      </w:r>
      <w:r w:rsidR="009721AB">
        <w:t xml:space="preserve"> </w:t>
      </w:r>
      <w:r w:rsidR="00FC7BFD">
        <w:t xml:space="preserve">passé de 0.29 </w:t>
      </w:r>
      <w:r w:rsidR="00FC7BFD" w:rsidRPr="0044670F">
        <w:t>Nouveau Contact/habitant/an</w:t>
      </w:r>
      <w:r w:rsidR="00FC7BFD">
        <w:t>en</w:t>
      </w:r>
      <w:r w:rsidR="00DF04FA" w:rsidRPr="0044670F">
        <w:t>200</w:t>
      </w:r>
      <w:r w:rsidR="00DF04FA">
        <w:t>7</w:t>
      </w:r>
      <w:r w:rsidRPr="0044670F">
        <w:t xml:space="preserve">à </w:t>
      </w:r>
      <w:r w:rsidR="00FC7BFD">
        <w:t>0,38</w:t>
      </w:r>
      <w:r w:rsidR="00FC7BFD" w:rsidRPr="0044670F">
        <w:t>Nouveau Contact/habitant/an</w:t>
      </w:r>
      <w:r w:rsidR="00FC7BFD">
        <w:t xml:space="preserve"> en</w:t>
      </w:r>
      <w:r w:rsidR="00FC7BFD" w:rsidRPr="0044670F">
        <w:t>201</w:t>
      </w:r>
      <w:r w:rsidR="00FC7BFD">
        <w:t>4</w:t>
      </w:r>
      <w:r w:rsidRPr="0044670F">
        <w:t xml:space="preserve">.  </w:t>
      </w:r>
    </w:p>
    <w:p w:rsidR="00B9166B" w:rsidRPr="0044670F" w:rsidRDefault="00B9166B" w:rsidP="00587784">
      <w:pPr>
        <w:spacing w:line="312" w:lineRule="auto"/>
      </w:pPr>
      <w:r w:rsidRPr="0044670F">
        <w:t xml:space="preserve">La couverture vaccinale a baissé en dessous du seuil de 90% depuis 2011 et est restée stagnante  entre 88% et 89% entre 2011 et  </w:t>
      </w:r>
      <w:r w:rsidR="008C3B63">
        <w:t xml:space="preserve">2013. En </w:t>
      </w:r>
      <w:r w:rsidR="00DF04FA" w:rsidRPr="0044670F">
        <w:t>201</w:t>
      </w:r>
      <w:r w:rsidR="00DF04FA">
        <w:t>4</w:t>
      </w:r>
      <w:r w:rsidR="00246469">
        <w:t>,</w:t>
      </w:r>
      <w:r w:rsidR="008C3B63">
        <w:t xml:space="preserve"> elle est remontée à 99%</w:t>
      </w:r>
      <w:r w:rsidRPr="0044670F">
        <w:t>.</w:t>
      </w:r>
    </w:p>
    <w:p w:rsidR="00B9166B" w:rsidRPr="0044670F" w:rsidRDefault="001267F0" w:rsidP="00413170">
      <w:pPr>
        <w:pStyle w:val="Titre2"/>
        <w:numPr>
          <w:ilvl w:val="1"/>
          <w:numId w:val="37"/>
        </w:numPr>
      </w:pPr>
      <w:bookmarkStart w:id="15" w:name="_Toc413941214"/>
      <w:r>
        <w:t>F</w:t>
      </w:r>
      <w:r w:rsidR="00B9166B" w:rsidRPr="0044670F">
        <w:t>inancement du système</w:t>
      </w:r>
      <w:bookmarkEnd w:id="15"/>
      <w:r w:rsidR="00D437D5">
        <w:t xml:space="preserve"> de santé</w:t>
      </w:r>
    </w:p>
    <w:p w:rsidR="00B9166B" w:rsidRPr="0044670F" w:rsidRDefault="00B9166B" w:rsidP="00587784">
      <w:pPr>
        <w:spacing w:line="312" w:lineRule="auto"/>
      </w:pPr>
      <w:r w:rsidRPr="0044670F">
        <w:t>Le système de santé au Mali est financé par différents acteurs disposant chacun des mécanismes à travers lesquels les fonds sont mobilisés.</w:t>
      </w:r>
    </w:p>
    <w:p w:rsidR="00B9166B" w:rsidRPr="0044670F" w:rsidRDefault="00B9166B" w:rsidP="00587784">
      <w:pPr>
        <w:spacing w:line="312" w:lineRule="auto"/>
      </w:pPr>
      <w:r w:rsidRPr="0044670F">
        <w:t xml:space="preserve">Il s’agit de : </w:t>
      </w:r>
    </w:p>
    <w:p w:rsidR="00B9166B" w:rsidRPr="0044670F" w:rsidRDefault="00B9166B" w:rsidP="00413170">
      <w:pPr>
        <w:pStyle w:val="Titre3"/>
        <w:numPr>
          <w:ilvl w:val="2"/>
          <w:numId w:val="37"/>
        </w:numPr>
      </w:pPr>
      <w:bookmarkStart w:id="16" w:name="_Toc413941215"/>
      <w:r w:rsidRPr="0044670F">
        <w:t>Etat</w:t>
      </w:r>
      <w:bookmarkEnd w:id="16"/>
    </w:p>
    <w:p w:rsidR="00B9166B" w:rsidRPr="0044670F" w:rsidRDefault="00B9166B" w:rsidP="00587784">
      <w:pPr>
        <w:spacing w:line="312" w:lineRule="auto"/>
      </w:pPr>
      <w:r w:rsidRPr="0044670F">
        <w:t>Les différents mécanismes à travers lesquels les fonds du budget d’Etat sont mobilisés pour financer la santé sont :</w:t>
      </w:r>
    </w:p>
    <w:p w:rsidR="00B9166B" w:rsidRPr="0044670F" w:rsidRDefault="00B9166B" w:rsidP="00587784">
      <w:pPr>
        <w:pStyle w:val="Paragraphedeliste"/>
        <w:numPr>
          <w:ilvl w:val="0"/>
          <w:numId w:val="13"/>
        </w:numPr>
        <w:spacing w:line="312" w:lineRule="auto"/>
      </w:pPr>
      <w:r w:rsidRPr="0044670F">
        <w:t>Budget alloué au Ministère de la Santé et de l’Hygiène Publique ;</w:t>
      </w:r>
    </w:p>
    <w:p w:rsidR="00B9166B" w:rsidRPr="0044670F" w:rsidRDefault="00B9166B" w:rsidP="00587784">
      <w:pPr>
        <w:pStyle w:val="Paragraphedeliste"/>
        <w:numPr>
          <w:ilvl w:val="0"/>
          <w:numId w:val="13"/>
        </w:numPr>
        <w:spacing w:line="312" w:lineRule="auto"/>
      </w:pPr>
      <w:r w:rsidRPr="0044670F">
        <w:t>Budget alloué aux autres Ministères dans le volet « Fonction Santé » ;</w:t>
      </w:r>
    </w:p>
    <w:p w:rsidR="00B9166B" w:rsidRPr="0044670F" w:rsidRDefault="00B9166B" w:rsidP="00587784">
      <w:pPr>
        <w:pStyle w:val="Paragraphedeliste"/>
        <w:numPr>
          <w:ilvl w:val="0"/>
          <w:numId w:val="13"/>
        </w:numPr>
        <w:spacing w:line="312" w:lineRule="auto"/>
      </w:pPr>
      <w:r w:rsidRPr="0044670F">
        <w:t>Appui Budgétaire Général (ABG) ;</w:t>
      </w:r>
    </w:p>
    <w:p w:rsidR="00B9166B" w:rsidRPr="0044670F" w:rsidRDefault="00B9166B" w:rsidP="00587784">
      <w:pPr>
        <w:pStyle w:val="Paragraphedeliste"/>
        <w:numPr>
          <w:ilvl w:val="0"/>
          <w:numId w:val="13"/>
        </w:numPr>
        <w:spacing w:line="312" w:lineRule="auto"/>
      </w:pPr>
      <w:r w:rsidRPr="0044670F">
        <w:t>Appui Budgétaire Sectoriel (ABS).</w:t>
      </w:r>
    </w:p>
    <w:p w:rsidR="00B03CCC" w:rsidRPr="0044670F" w:rsidRDefault="00B9166B" w:rsidP="00587784">
      <w:pPr>
        <w:spacing w:line="312" w:lineRule="auto"/>
      </w:pPr>
      <w:r w:rsidRPr="0044670F">
        <w:t>A travers le budget alloué au Ministère de la Santé, l’état fournit une dotation minimum en matériel de soins, de laboratoires</w:t>
      </w:r>
      <w:r w:rsidR="00321073">
        <w:t>,</w:t>
      </w:r>
      <w:r w:rsidRPr="0044670F">
        <w:t xml:space="preserve"> etc.… </w:t>
      </w:r>
    </w:p>
    <w:p w:rsidR="00B9166B" w:rsidRPr="0044670F" w:rsidRDefault="00B9166B" w:rsidP="00413170">
      <w:pPr>
        <w:pStyle w:val="Titre3"/>
        <w:numPr>
          <w:ilvl w:val="2"/>
          <w:numId w:val="37"/>
        </w:numPr>
      </w:pPr>
      <w:bookmarkStart w:id="17" w:name="_Toc413941216"/>
      <w:r w:rsidRPr="0044670F">
        <w:t>Partenaires extérieurs</w:t>
      </w:r>
      <w:bookmarkEnd w:id="17"/>
    </w:p>
    <w:p w:rsidR="00B9166B" w:rsidRPr="0044670F" w:rsidRDefault="00B9166B" w:rsidP="00587784">
      <w:pPr>
        <w:spacing w:line="312" w:lineRule="auto"/>
      </w:pPr>
      <w:r w:rsidRPr="0044670F">
        <w:t>Pour le financement de la santé, les fonds des partenaires extérieurs sont mobilisés à travers quatre mécanismes à savoir :</w:t>
      </w:r>
    </w:p>
    <w:p w:rsidR="00B9166B" w:rsidRPr="0044670F" w:rsidRDefault="00B9166B" w:rsidP="00587784">
      <w:pPr>
        <w:pStyle w:val="Paragraphedeliste"/>
        <w:numPr>
          <w:ilvl w:val="0"/>
          <w:numId w:val="14"/>
        </w:numPr>
        <w:spacing w:line="312" w:lineRule="auto"/>
      </w:pPr>
      <w:r w:rsidRPr="0044670F">
        <w:t>Les procédures du Budget d'Etat</w:t>
      </w:r>
      <w:r w:rsidR="00756637">
        <w:t> ;</w:t>
      </w:r>
    </w:p>
    <w:p w:rsidR="00B9166B" w:rsidRPr="0044670F" w:rsidRDefault="00B9166B" w:rsidP="00587784">
      <w:pPr>
        <w:pStyle w:val="Paragraphedeliste"/>
        <w:numPr>
          <w:ilvl w:val="0"/>
          <w:numId w:val="14"/>
        </w:numPr>
        <w:spacing w:line="312" w:lineRule="auto"/>
      </w:pPr>
      <w:r w:rsidRPr="0044670F">
        <w:t>Les appuis directs aux services des départements</w:t>
      </w:r>
      <w:r w:rsidR="00756637">
        <w:t> ;</w:t>
      </w:r>
    </w:p>
    <w:p w:rsidR="00B9166B" w:rsidRPr="0044670F" w:rsidRDefault="00B9166B" w:rsidP="00587784">
      <w:pPr>
        <w:pStyle w:val="Paragraphedeliste"/>
        <w:numPr>
          <w:ilvl w:val="0"/>
          <w:numId w:val="14"/>
        </w:numPr>
        <w:spacing w:line="312" w:lineRule="auto"/>
      </w:pPr>
      <w:r w:rsidRPr="0044670F">
        <w:t>Le financement des ONG et autres organisations de la société civile</w:t>
      </w:r>
      <w:r w:rsidR="00756637">
        <w:t> ;</w:t>
      </w:r>
    </w:p>
    <w:p w:rsidR="00B9166B" w:rsidRPr="0044670F" w:rsidRDefault="00B9166B" w:rsidP="00587784">
      <w:pPr>
        <w:pStyle w:val="Paragraphedeliste"/>
        <w:numPr>
          <w:ilvl w:val="0"/>
          <w:numId w:val="14"/>
        </w:numPr>
        <w:spacing w:line="312" w:lineRule="auto"/>
      </w:pPr>
      <w:r w:rsidRPr="0044670F">
        <w:t>L’assistance technique</w:t>
      </w:r>
      <w:r w:rsidR="004376EE" w:rsidRPr="0044670F">
        <w:t>.</w:t>
      </w:r>
    </w:p>
    <w:p w:rsidR="00B9166B" w:rsidRPr="0044670F" w:rsidRDefault="00B9166B" w:rsidP="00587784">
      <w:pPr>
        <w:spacing w:line="312" w:lineRule="auto"/>
      </w:pPr>
      <w:r w:rsidRPr="0044670F">
        <w:t>Les fonds des partenaires sont le plus souvent utilisés en fonction de leurs domaines d’intervention.</w:t>
      </w:r>
    </w:p>
    <w:p w:rsidR="00B9166B" w:rsidRPr="00DA0088" w:rsidRDefault="00B9166B" w:rsidP="00413170">
      <w:pPr>
        <w:pStyle w:val="Titre3"/>
        <w:numPr>
          <w:ilvl w:val="2"/>
          <w:numId w:val="37"/>
        </w:numPr>
        <w:rPr>
          <w:color w:val="auto"/>
        </w:rPr>
      </w:pPr>
      <w:bookmarkStart w:id="18" w:name="_Toc413941217"/>
      <w:r w:rsidRPr="00DA0088">
        <w:rPr>
          <w:color w:val="auto"/>
        </w:rPr>
        <w:t>Collectivités territoriales</w:t>
      </w:r>
      <w:bookmarkEnd w:id="18"/>
    </w:p>
    <w:p w:rsidR="00B9166B" w:rsidRPr="00901BD7" w:rsidRDefault="005A1E28" w:rsidP="00587784">
      <w:pPr>
        <w:spacing w:line="312" w:lineRule="auto"/>
        <w:rPr>
          <w:highlight w:val="yellow"/>
        </w:rPr>
      </w:pPr>
      <w:r w:rsidRPr="00901BD7">
        <w:t>La contribution des collectivités territoriales au financement de la santé dans le cadre de la décentralisation demeure très faible</w:t>
      </w:r>
      <w:r w:rsidR="00901BD7" w:rsidRPr="00901BD7">
        <w:t xml:space="preserve">  2,746 milliard de FCFA en 2014 </w:t>
      </w:r>
      <w:r w:rsidRPr="00901BD7">
        <w:t>l'essentiel du financement va dans la réalisation d'infrastructures au niveau périphérique telle que la construction de CSCom</w:t>
      </w:r>
      <w:r w:rsidR="00B9166B" w:rsidRPr="0044670F">
        <w:t xml:space="preserve">. </w:t>
      </w:r>
    </w:p>
    <w:p w:rsidR="00B9166B" w:rsidRPr="0044670F" w:rsidRDefault="00B9166B" w:rsidP="00413170">
      <w:pPr>
        <w:pStyle w:val="Titre3"/>
        <w:numPr>
          <w:ilvl w:val="2"/>
          <w:numId w:val="37"/>
        </w:numPr>
      </w:pPr>
      <w:bookmarkStart w:id="19" w:name="_Toc413941218"/>
      <w:r w:rsidRPr="0044670F">
        <w:t>Assurance et Mutuelles</w:t>
      </w:r>
      <w:bookmarkEnd w:id="19"/>
    </w:p>
    <w:p w:rsidR="00B9166B" w:rsidRPr="00263AE4" w:rsidRDefault="00B9166B" w:rsidP="00587784">
      <w:pPr>
        <w:spacing w:line="312" w:lineRule="auto"/>
        <w:rPr>
          <w:highlight w:val="yellow"/>
        </w:rPr>
      </w:pPr>
      <w:r w:rsidRPr="0044670F">
        <w:t xml:space="preserve">Du coté des Institutions de </w:t>
      </w:r>
      <w:r w:rsidR="00B45C52">
        <w:t>Sécurité</w:t>
      </w:r>
      <w:r w:rsidR="009721AB">
        <w:t xml:space="preserve"> </w:t>
      </w:r>
      <w:r w:rsidRPr="0044670F">
        <w:t xml:space="preserve">Sociale, la mutualisation des ressources pour la santé est constituée par les assurances maladies dont la contribution au financement de la santé est faible aujourd'hui. </w:t>
      </w:r>
      <w:r w:rsidR="002D35C1">
        <w:t>Les principaux acteurs sont la Caisse Nationale d'Assurance Maladie (CANAM),</w:t>
      </w:r>
      <w:r w:rsidR="00B45C52">
        <w:t xml:space="preserve"> l’Institut National de Prévoyance Sociale (INPS),</w:t>
      </w:r>
      <w:r w:rsidR="002D35C1">
        <w:t xml:space="preserve"> l'Agence Nationale d'Assistance M</w:t>
      </w:r>
      <w:r w:rsidRPr="0044670F">
        <w:t xml:space="preserve">édicale </w:t>
      </w:r>
      <w:r w:rsidR="002D35C1">
        <w:t>(</w:t>
      </w:r>
      <w:r w:rsidRPr="0044670F">
        <w:t>ANAM</w:t>
      </w:r>
      <w:r w:rsidR="002D35C1">
        <w:t>)</w:t>
      </w:r>
      <w:r w:rsidRPr="0044670F">
        <w:t xml:space="preserve"> et les mutuelles de santé.</w:t>
      </w:r>
    </w:p>
    <w:p w:rsidR="00263AE4" w:rsidRDefault="00263AE4">
      <w:pPr>
        <w:autoSpaceDE/>
        <w:autoSpaceDN/>
        <w:adjustRightInd/>
        <w:spacing w:after="200" w:line="276" w:lineRule="auto"/>
        <w:jc w:val="left"/>
        <w:rPr>
          <w:rFonts w:asciiTheme="majorHAnsi" w:eastAsiaTheme="majorEastAsia" w:hAnsiTheme="majorHAnsi" w:cstheme="majorBidi"/>
          <w:b/>
          <w:sz w:val="32"/>
          <w:szCs w:val="32"/>
          <w:lang w:eastAsia="en-US"/>
        </w:rPr>
      </w:pPr>
      <w:bookmarkStart w:id="20" w:name="_Toc413941219"/>
      <w:r>
        <w:br w:type="page"/>
      </w:r>
    </w:p>
    <w:p w:rsidR="009E5093" w:rsidRDefault="009E5093" w:rsidP="00564513">
      <w:pPr>
        <w:pStyle w:val="Titre1"/>
        <w:numPr>
          <w:ilvl w:val="0"/>
          <w:numId w:val="37"/>
        </w:numPr>
      </w:pPr>
      <w:r w:rsidRPr="009E5093">
        <w:t>Méthodologie et sources de Donné</w:t>
      </w:r>
      <w:r>
        <w:t>es</w:t>
      </w:r>
      <w:bookmarkEnd w:id="20"/>
    </w:p>
    <w:p w:rsidR="005C745A" w:rsidRPr="00947090" w:rsidRDefault="005A29FA" w:rsidP="00947090">
      <w:pPr>
        <w:pStyle w:val="Titre2"/>
        <w:ind w:left="1080" w:hanging="720"/>
        <w:rPr>
          <w:rStyle w:val="Lienhypertexte"/>
          <w:color w:val="000000"/>
          <w:u w:val="none"/>
        </w:rPr>
      </w:pPr>
      <w:r w:rsidRPr="00947090">
        <w:rPr>
          <w:rStyle w:val="Lienhypertexte"/>
          <w:color w:val="000000"/>
          <w:u w:val="none"/>
        </w:rPr>
        <w:t xml:space="preserve">2.1. </w:t>
      </w:r>
      <w:hyperlink w:anchor="_Toc224702703" w:history="1">
        <w:bookmarkStart w:id="21" w:name="_Toc413941220"/>
        <w:r w:rsidR="006E2F4C" w:rsidRPr="009E5093">
          <w:rPr>
            <w:rStyle w:val="Lienhypertexte"/>
            <w:color w:val="000000"/>
            <w:u w:val="none"/>
          </w:rPr>
          <w:t>Définitions</w:t>
        </w:r>
      </w:hyperlink>
      <w:r w:rsidR="006E2F4C" w:rsidRPr="00947090">
        <w:rPr>
          <w:rStyle w:val="Lienhypertexte"/>
          <w:color w:val="000000"/>
          <w:u w:val="none"/>
        </w:rPr>
        <w:t xml:space="preserve"> des concepts du SHA 2011</w:t>
      </w:r>
      <w:bookmarkEnd w:id="21"/>
    </w:p>
    <w:p w:rsidR="00F206F8" w:rsidRPr="0044670F" w:rsidRDefault="00F206F8" w:rsidP="0015760D">
      <w:pPr>
        <w:pStyle w:val="Paragraphedeliste"/>
        <w:numPr>
          <w:ilvl w:val="0"/>
          <w:numId w:val="5"/>
        </w:numPr>
      </w:pPr>
      <w:r w:rsidRPr="0044670F">
        <w:rPr>
          <w:b/>
        </w:rPr>
        <w:t>Délimitation de la santé :</w:t>
      </w:r>
      <w:r w:rsidRPr="0044670F">
        <w:t xml:space="preserve"> les activités de soins de santé comprennent l'ensemble des activités exercées par des institutions ou des individus qui mettent leurs connaissances et leur maîtrise des techniques médicales, paramédicales et infirmières au service des objectifs ci-après:</w:t>
      </w:r>
    </w:p>
    <w:p w:rsidR="00F206F8" w:rsidRPr="0044670F" w:rsidRDefault="00F206F8" w:rsidP="0015760D">
      <w:pPr>
        <w:pStyle w:val="Paragraphedeliste"/>
        <w:numPr>
          <w:ilvl w:val="1"/>
          <w:numId w:val="5"/>
        </w:numPr>
        <w:tabs>
          <w:tab w:val="left" w:pos="1134"/>
        </w:tabs>
        <w:ind w:left="1134"/>
      </w:pPr>
      <w:r w:rsidRPr="0044670F">
        <w:t>promouvoir la santé et prévenir les maladies;</w:t>
      </w:r>
    </w:p>
    <w:p w:rsidR="00F206F8" w:rsidRPr="0044670F" w:rsidRDefault="00F206F8" w:rsidP="0015760D">
      <w:pPr>
        <w:pStyle w:val="Paragraphedeliste"/>
        <w:numPr>
          <w:ilvl w:val="1"/>
          <w:numId w:val="5"/>
        </w:numPr>
        <w:ind w:left="1134"/>
      </w:pPr>
      <w:r w:rsidRPr="0044670F">
        <w:t>guérir les maladies et réduire la mortalité prématurée;</w:t>
      </w:r>
    </w:p>
    <w:p w:rsidR="00F206F8" w:rsidRPr="0044670F" w:rsidRDefault="00F206F8" w:rsidP="0015760D">
      <w:pPr>
        <w:pStyle w:val="Paragraphedeliste"/>
        <w:numPr>
          <w:ilvl w:val="1"/>
          <w:numId w:val="5"/>
        </w:numPr>
        <w:ind w:left="1134"/>
      </w:pPr>
      <w:r w:rsidRPr="0044670F">
        <w:t>prendre soin des malades chroniques requérant des soins infirmiers;</w:t>
      </w:r>
    </w:p>
    <w:p w:rsidR="00F206F8" w:rsidRPr="0044670F" w:rsidRDefault="00F206F8" w:rsidP="0015760D">
      <w:pPr>
        <w:pStyle w:val="Paragraphedeliste"/>
        <w:numPr>
          <w:ilvl w:val="1"/>
          <w:numId w:val="5"/>
        </w:numPr>
        <w:ind w:left="1134"/>
      </w:pPr>
      <w:r w:rsidRPr="0044670F">
        <w:t>prendre soin des personnes atteintes de déficiences, d'incapacité</w:t>
      </w:r>
      <w:r w:rsidR="0014482C">
        <w:t>s</w:t>
      </w:r>
      <w:r w:rsidRPr="0044670F">
        <w:t xml:space="preserve"> ou de handicaps requérant de soins infirmiers;</w:t>
      </w:r>
    </w:p>
    <w:p w:rsidR="00F206F8" w:rsidRPr="0044670F" w:rsidRDefault="00F206F8" w:rsidP="0015760D">
      <w:pPr>
        <w:pStyle w:val="Paragraphedeliste"/>
        <w:numPr>
          <w:ilvl w:val="1"/>
          <w:numId w:val="5"/>
        </w:numPr>
        <w:ind w:left="1134"/>
      </w:pPr>
      <w:r w:rsidRPr="0044670F">
        <w:t>concevoir et mettre en œuvre des actions de la santé publique;</w:t>
      </w:r>
    </w:p>
    <w:p w:rsidR="00F206F8" w:rsidRPr="0015760D" w:rsidRDefault="00F206F8" w:rsidP="0015760D">
      <w:pPr>
        <w:pStyle w:val="Paragraphedeliste"/>
        <w:numPr>
          <w:ilvl w:val="1"/>
          <w:numId w:val="5"/>
        </w:numPr>
        <w:spacing w:before="240"/>
        <w:ind w:left="1134"/>
        <w:rPr>
          <w:sz w:val="20"/>
          <w:szCs w:val="20"/>
        </w:rPr>
      </w:pPr>
      <w:r w:rsidRPr="0044670F">
        <w:t>concevoir et gérer des programmes sanitaires, des mécanismes d'assurance maladie et d’autres mécanismes de financement.</w:t>
      </w:r>
    </w:p>
    <w:p w:rsidR="00F206F8" w:rsidRPr="0044670F" w:rsidRDefault="00F206F8" w:rsidP="0015760D">
      <w:pPr>
        <w:pStyle w:val="Paragraphedeliste"/>
        <w:numPr>
          <w:ilvl w:val="0"/>
          <w:numId w:val="2"/>
        </w:numPr>
        <w:spacing w:before="240"/>
      </w:pPr>
      <w:r w:rsidRPr="0044670F">
        <w:rPr>
          <w:b/>
        </w:rPr>
        <w:t xml:space="preserve">Dépenses de santé: </w:t>
      </w:r>
      <w:r w:rsidRPr="0044670F">
        <w:t xml:space="preserve">Les dépenses de santé sont constituées des dépenses liées aux activités dont le but essentiel est de restaurer, </w:t>
      </w:r>
      <w:r w:rsidR="0014482C">
        <w:t>d’</w:t>
      </w:r>
      <w:r w:rsidRPr="0044670F">
        <w:t xml:space="preserve">améliorer et </w:t>
      </w:r>
      <w:r w:rsidR="0014482C">
        <w:t>d’</w:t>
      </w:r>
      <w:r w:rsidRPr="0044670F">
        <w:t>entretenir la santé d’une nation et des individus sur une période définie. Cette définition s’applique indépendamment de la nature de l'institution qui fournit les soins ou qui finance l’activité de santé.</w:t>
      </w:r>
    </w:p>
    <w:p w:rsidR="00F206F8" w:rsidRPr="0044670F" w:rsidRDefault="00F206F8" w:rsidP="0015760D">
      <w:pPr>
        <w:pStyle w:val="Paragraphedeliste"/>
        <w:numPr>
          <w:ilvl w:val="0"/>
          <w:numId w:val="2"/>
        </w:numPr>
      </w:pPr>
      <w:r w:rsidRPr="0044670F">
        <w:rPr>
          <w:b/>
        </w:rPr>
        <w:t xml:space="preserve">Dépenses courantes de santé : </w:t>
      </w:r>
      <w:r w:rsidRPr="0044670F">
        <w:t>Elles sont constituées des dépenses de santé effectuées pour de bien ou service n’excédant pas l’année.</w:t>
      </w:r>
    </w:p>
    <w:p w:rsidR="00F206F8" w:rsidRPr="0044670F" w:rsidRDefault="00F206F8" w:rsidP="0015760D">
      <w:pPr>
        <w:pStyle w:val="Paragraphedeliste"/>
        <w:numPr>
          <w:ilvl w:val="0"/>
          <w:numId w:val="2"/>
        </w:numPr>
        <w:rPr>
          <w:b/>
        </w:rPr>
      </w:pPr>
      <w:r w:rsidRPr="0044670F">
        <w:rPr>
          <w:b/>
        </w:rPr>
        <w:t xml:space="preserve">Formation du capital : </w:t>
      </w:r>
      <w:r w:rsidRPr="0044670F">
        <w:t>Il s’agit des dépenses de santé en investissement. Les dépenses effectuées pour la recherche sont systématiquement considérées comme des investissements.</w:t>
      </w:r>
    </w:p>
    <w:p w:rsidR="00F206F8" w:rsidRPr="0044670F" w:rsidRDefault="00F206F8" w:rsidP="0015760D">
      <w:pPr>
        <w:pStyle w:val="Paragraphedeliste"/>
        <w:numPr>
          <w:ilvl w:val="0"/>
          <w:numId w:val="2"/>
        </w:numPr>
        <w:rPr>
          <w:b/>
        </w:rPr>
      </w:pPr>
      <w:r w:rsidRPr="0044670F">
        <w:rPr>
          <w:b/>
        </w:rPr>
        <w:t>Biens médicaux dispensés :</w:t>
      </w:r>
      <w:r w:rsidRPr="0044670F">
        <w:t xml:space="preserve"> Ce sont les médicaments, les consommables et les dispositifs médicaux, la lunetterie, les prothèses pour l’orthopédie et les appareils pour handicapés et autres petits matériels consommés en dehors de l’hospitalisation.</w:t>
      </w:r>
    </w:p>
    <w:p w:rsidR="00F206F8" w:rsidRPr="0044670F" w:rsidRDefault="00F206F8" w:rsidP="0015760D">
      <w:pPr>
        <w:pStyle w:val="Paragraphedeliste"/>
        <w:numPr>
          <w:ilvl w:val="0"/>
          <w:numId w:val="2"/>
        </w:numPr>
      </w:pPr>
      <w:r w:rsidRPr="0044670F">
        <w:rPr>
          <w:b/>
        </w:rPr>
        <w:t>Paiement direct des ménages :</w:t>
      </w:r>
      <w:r w:rsidRPr="0044670F">
        <w:t xml:space="preserve"> Les paiements directs sont les dépenses effectuées par les ménages en contrepartie d’une prestation de service de santé dans une formation sanitaire, en médecine traditionnelle ou en automédication. Les cotisations des ménages pour le compte d’un mécanisme de partage de risque maladie (mutuelle de santé ou assurance maladie) sont exclues de ce champ.</w:t>
      </w:r>
    </w:p>
    <w:p w:rsidR="00F206F8" w:rsidRPr="0044670F" w:rsidRDefault="00F206F8" w:rsidP="0015760D">
      <w:pPr>
        <w:pStyle w:val="Paragraphedeliste"/>
        <w:numPr>
          <w:ilvl w:val="0"/>
          <w:numId w:val="2"/>
        </w:numPr>
      </w:pPr>
      <w:r w:rsidRPr="0044670F">
        <w:rPr>
          <w:b/>
        </w:rPr>
        <w:t>Régimes de financement :</w:t>
      </w:r>
      <w:r w:rsidRPr="0044670F">
        <w:t xml:space="preserve"> Ils désignent les systèmes qui mobilisent les ressources financières pour prendre en charge les activités de soins de santé.</w:t>
      </w:r>
    </w:p>
    <w:p w:rsidR="00F206F8" w:rsidRPr="0044670F" w:rsidRDefault="00F206F8" w:rsidP="0015760D">
      <w:pPr>
        <w:pStyle w:val="Paragraphedeliste"/>
        <w:numPr>
          <w:ilvl w:val="0"/>
          <w:numId w:val="2"/>
        </w:numPr>
      </w:pPr>
      <w:r w:rsidRPr="0044670F">
        <w:rPr>
          <w:b/>
        </w:rPr>
        <w:t>Recettes des régimes de financement :</w:t>
      </w:r>
      <w:r w:rsidRPr="0044670F">
        <w:t xml:space="preserve"> Une recette est l’augmentation des fonds d’un régime de financement de la santé, au moyen de mécanismes de contribution spécifiques. Les catégories de la classification sont des types de transactions particulières au moyen desquelles les régimes de financement obtiennent leurs recettes.</w:t>
      </w:r>
    </w:p>
    <w:p w:rsidR="00F206F8" w:rsidRPr="0044670F" w:rsidRDefault="00F206F8" w:rsidP="0015760D">
      <w:pPr>
        <w:pStyle w:val="Paragraphedeliste"/>
        <w:numPr>
          <w:ilvl w:val="0"/>
          <w:numId w:val="3"/>
        </w:numPr>
      </w:pPr>
      <w:r w:rsidRPr="0044670F">
        <w:rPr>
          <w:b/>
        </w:rPr>
        <w:t>Agents de financement :</w:t>
      </w:r>
      <w:r w:rsidRPr="0044670F">
        <w:t xml:space="preserve"> Les agents de financement sont des unités institutionnelles qui gèrent un ou plusieurs régimes de financement.</w:t>
      </w:r>
    </w:p>
    <w:p w:rsidR="00F206F8" w:rsidRPr="0044670F" w:rsidRDefault="00F206F8" w:rsidP="0015760D">
      <w:pPr>
        <w:pStyle w:val="Paragraphedeliste"/>
        <w:numPr>
          <w:ilvl w:val="0"/>
          <w:numId w:val="3"/>
        </w:numPr>
      </w:pPr>
      <w:r w:rsidRPr="0044670F">
        <w:rPr>
          <w:b/>
        </w:rPr>
        <w:t>Prestataires de soins de santé :</w:t>
      </w:r>
      <w:r w:rsidRPr="0044670F">
        <w:t xml:space="preserve"> Ensemble des organisations et acteurs qui fournissent des biens et services médicaux y compris des structures de l’administration de la santé et les ONG exerçant de</w:t>
      </w:r>
      <w:r w:rsidR="00263AE4">
        <w:t>s activités de prévention</w:t>
      </w:r>
      <w:r w:rsidRPr="0044670F">
        <w:t>.</w:t>
      </w:r>
    </w:p>
    <w:p w:rsidR="00F206F8" w:rsidRPr="0044670F" w:rsidRDefault="00F206F8" w:rsidP="0015760D">
      <w:pPr>
        <w:pStyle w:val="Paragraphedeliste"/>
        <w:numPr>
          <w:ilvl w:val="0"/>
          <w:numId w:val="3"/>
        </w:numPr>
      </w:pPr>
      <w:r w:rsidRPr="0044670F">
        <w:rPr>
          <w:b/>
        </w:rPr>
        <w:t>Prestataires primaires:</w:t>
      </w:r>
      <w:r w:rsidRPr="0044670F">
        <w:t xml:space="preserve"> Prestataires dont l’activité principale consiste en l’offre des biens et services médicaux (cliniques, hôpitaux, centres de santé, pharmacies, …).</w:t>
      </w:r>
    </w:p>
    <w:p w:rsidR="00F206F8" w:rsidRPr="0044670F" w:rsidRDefault="00F206F8" w:rsidP="0015760D">
      <w:pPr>
        <w:pStyle w:val="Paragraphedeliste"/>
        <w:numPr>
          <w:ilvl w:val="0"/>
          <w:numId w:val="3"/>
        </w:numPr>
      </w:pPr>
      <w:r w:rsidRPr="0044670F">
        <w:rPr>
          <w:b/>
        </w:rPr>
        <w:t>Prestataires secondaires :</w:t>
      </w:r>
      <w:r w:rsidRPr="0044670F">
        <w:t xml:space="preserve"> Prestataires offrant, en plus de leurs activités principales, des services de santé (supermarchés avec des rayons des produits pharmaceutiques, services de santé des prisons, etc.).</w:t>
      </w:r>
    </w:p>
    <w:p w:rsidR="00F206F8" w:rsidRPr="0044670F" w:rsidRDefault="00F206F8" w:rsidP="0015760D">
      <w:pPr>
        <w:pStyle w:val="Paragraphedeliste"/>
        <w:numPr>
          <w:ilvl w:val="0"/>
          <w:numId w:val="3"/>
        </w:numPr>
      </w:pPr>
      <w:r w:rsidRPr="0044670F">
        <w:rPr>
          <w:b/>
        </w:rPr>
        <w:t xml:space="preserve">Facteurs de prestation : </w:t>
      </w:r>
      <w:r w:rsidRPr="0044670F">
        <w:t>Les facteurs de prestation sont les biens et services sanitaires ou non</w:t>
      </w:r>
      <w:r w:rsidR="00263AE4">
        <w:t>,</w:t>
      </w:r>
      <w:r w:rsidRPr="0044670F">
        <w:t xml:space="preserve"> employés</w:t>
      </w:r>
      <w:r w:rsidR="00263AE4">
        <w:t xml:space="preserve"> par les différents</w:t>
      </w:r>
      <w:r w:rsidRPr="0044670F">
        <w:t xml:space="preserve"> prestataires pour fournir les services de soins de santé.</w:t>
      </w:r>
    </w:p>
    <w:p w:rsidR="00F206F8" w:rsidRPr="0044670F" w:rsidRDefault="00F206F8" w:rsidP="0015760D">
      <w:pPr>
        <w:pStyle w:val="Paragraphedeliste"/>
        <w:numPr>
          <w:ilvl w:val="0"/>
          <w:numId w:val="3"/>
        </w:numPr>
        <w:rPr>
          <w:b/>
        </w:rPr>
      </w:pPr>
      <w:r w:rsidRPr="0044670F">
        <w:rPr>
          <w:b/>
        </w:rPr>
        <w:t xml:space="preserve">Fonctions des soins de santé : </w:t>
      </w:r>
      <w:r w:rsidRPr="0044670F">
        <w:t>biens et services fournis et les activités réalisées dans la délimitation selon les comptes de la santé.</w:t>
      </w:r>
    </w:p>
    <w:p w:rsidR="00942DE2" w:rsidRPr="009E5093" w:rsidRDefault="005A29FA" w:rsidP="00947090">
      <w:pPr>
        <w:pStyle w:val="Titre2"/>
        <w:ind w:left="1080" w:hanging="720"/>
      </w:pPr>
      <w:bookmarkStart w:id="22" w:name="_Toc413941221"/>
      <w:r>
        <w:t xml:space="preserve">2.2. </w:t>
      </w:r>
      <w:r w:rsidR="00942DE2" w:rsidRPr="009E5093">
        <w:t>Utilité des comptes de la santé</w:t>
      </w:r>
      <w:bookmarkEnd w:id="22"/>
    </w:p>
    <w:p w:rsidR="00942DE2" w:rsidRPr="0044670F" w:rsidRDefault="00942DE2" w:rsidP="00587784">
      <w:pPr>
        <w:spacing w:line="312" w:lineRule="auto"/>
      </w:pPr>
      <w:r w:rsidRPr="0044670F">
        <w:t>Les comptes de la santé fournissent une description exhaustive des flux financiers au sein du système de santé. Ils indiquent l’origine des ressources et la façon dont elles sont utilisées. Ils  contribuent par ailleurs à évaluer l’efficacité des politiques publiques en faveur de la santé et leurs impacts dans le temps.</w:t>
      </w:r>
    </w:p>
    <w:p w:rsidR="00942DE2" w:rsidRPr="0044670F" w:rsidRDefault="00942DE2" w:rsidP="00587784">
      <w:pPr>
        <w:spacing w:line="312" w:lineRule="auto"/>
      </w:pPr>
      <w:r w:rsidRPr="0044670F">
        <w:t>Les comptes de la santé permettent aux décideurs d’évaluer les flux et l’utilisation des ressources et de corriger les déséquilibres du financement du système de santé. Ils permettent de répondre aux questions telles que celles énumérées ci-dessous :</w:t>
      </w:r>
    </w:p>
    <w:p w:rsidR="00942DE2" w:rsidRPr="0044670F" w:rsidRDefault="00942DE2" w:rsidP="0015760D">
      <w:pPr>
        <w:pStyle w:val="Paragraphedeliste"/>
        <w:numPr>
          <w:ilvl w:val="0"/>
          <w:numId w:val="3"/>
        </w:numPr>
        <w:spacing w:line="312" w:lineRule="auto"/>
        <w:ind w:left="284"/>
      </w:pPr>
      <w:r w:rsidRPr="0044670F">
        <w:t>Comment les ressources sont-elles mobilisées et gérées pour le système de santé? Les comptes de la santé aident à fournir la base qui permet d'évaluer si les ressources financières mises à la disposition du système de santé sont adéquates, et de concevoir des stratégies qui permettent d'augmenter ces ressources;</w:t>
      </w:r>
    </w:p>
    <w:p w:rsidR="00942DE2" w:rsidRPr="0044670F" w:rsidRDefault="00942DE2" w:rsidP="0015760D">
      <w:pPr>
        <w:pStyle w:val="Paragraphedeliste"/>
        <w:numPr>
          <w:ilvl w:val="0"/>
          <w:numId w:val="3"/>
        </w:numPr>
        <w:spacing w:line="312" w:lineRule="auto"/>
        <w:ind w:left="284"/>
      </w:pPr>
      <w:r w:rsidRPr="0044670F">
        <w:t>Qui paye pour les soins de santé et combien est dépensé? Savoir quels sont les acteurs qui financent les soins de santé et dans quelle mesure la charge financière correspond à leurs moyens, permet de comprendre quel est le type de protection financière en vigueur et d'évaluer l'équité de la distribution de la charge financière ;</w:t>
      </w:r>
    </w:p>
    <w:p w:rsidR="00942DE2" w:rsidRPr="0044670F" w:rsidRDefault="00942DE2" w:rsidP="0015760D">
      <w:pPr>
        <w:pStyle w:val="Paragraphedeliste"/>
        <w:numPr>
          <w:ilvl w:val="0"/>
          <w:numId w:val="3"/>
        </w:numPr>
        <w:spacing w:line="312" w:lineRule="auto"/>
        <w:ind w:left="284"/>
      </w:pPr>
      <w:r w:rsidRPr="0044670F">
        <w:t>Qui fournit les biens et les services et avec quelles ressources? Les réponses à ces questions décrivent la répartition des dépenses par différents types de prestataires et selon les facteurs de production utilisés dans le système. Ce sont des dimensions de planification économique et d’analyse d’efficience économique, toutes deux essentielles dans la prise de décision ;</w:t>
      </w:r>
    </w:p>
    <w:p w:rsidR="00942DE2" w:rsidRPr="0044670F" w:rsidRDefault="00942DE2" w:rsidP="0015760D">
      <w:pPr>
        <w:pStyle w:val="Paragraphedeliste"/>
        <w:numPr>
          <w:ilvl w:val="0"/>
          <w:numId w:val="3"/>
        </w:numPr>
        <w:spacing w:line="312" w:lineRule="auto"/>
        <w:ind w:left="284"/>
      </w:pPr>
      <w:r w:rsidRPr="0044670F">
        <w:t>Comment les fonds sont-ils répartis entre les différents services, interventions et activités produits par le système de santé? Les comptes de la santé indiquent ce qui est produit et ce qui est dépensé pour ces différents produits. L'allocation des ressources aux fonctions de santé est un bon moyen de mesurer les priorités d’un système de santé. Cela permet de déterminer si oui ou non les ressources sont allouées suivant les priorités du système de santé;</w:t>
      </w:r>
    </w:p>
    <w:p w:rsidR="00942DE2" w:rsidRPr="0044670F" w:rsidRDefault="00942DE2" w:rsidP="0015760D">
      <w:pPr>
        <w:pStyle w:val="Paragraphedeliste"/>
        <w:numPr>
          <w:ilvl w:val="0"/>
          <w:numId w:val="3"/>
        </w:numPr>
        <w:spacing w:line="312" w:lineRule="auto"/>
        <w:ind w:left="284"/>
      </w:pPr>
      <w:r w:rsidRPr="0044670F">
        <w:t>Qui bénéficie des dépenses en santé? On peut répondre à cette question en observant différentes dimensions telles que les catégories de revenus, les groupes d’âge/sexe, les zones géographiques, l'état ou les conditions de santé, ou encore les types d’interventions fournies.</w:t>
      </w:r>
    </w:p>
    <w:p w:rsidR="00942DE2" w:rsidRPr="0044670F" w:rsidRDefault="00942DE2" w:rsidP="00587784">
      <w:pPr>
        <w:spacing w:line="312" w:lineRule="auto"/>
      </w:pPr>
      <w:r w:rsidRPr="0044670F">
        <w:t>Les comptes de la santé se concentrent spécifiquement sur la dimension financière du système de santé, et les données disponibles dans les CS concernent les dépenses en santé</w:t>
      </w:r>
      <w:r w:rsidR="00263AE4">
        <w:t>. L'existence d'information</w:t>
      </w:r>
      <w:r w:rsidRPr="0044670F">
        <w:t xml:space="preserve"> sur le financement de la santé peut contribuer à l’amélioration de la performance du système. Les données financières fournissent un apport essentiel pour renforcer les politiques visant à améliorer le fonctionnement du système de santé. Elles contribuent également à mesurer les facteurs qui expliquent les résultats du système et si ces résultats sont réalisés efficacement ou non. Réussir à distribuer équitablement la lourde charge financière des soins de santé (particulièrement en réduisant leur effet néfaste sur les pauvres).</w:t>
      </w:r>
    </w:p>
    <w:p w:rsidR="00286A2E" w:rsidRPr="0044670F" w:rsidRDefault="00942DE2" w:rsidP="00286A2E">
      <w:pPr>
        <w:spacing w:line="312" w:lineRule="auto"/>
      </w:pPr>
      <w:r w:rsidRPr="0044670F">
        <w:t>C’est pourquoi depuis quelques années</w:t>
      </w:r>
      <w:r w:rsidR="00B81029">
        <w:t>,</w:t>
      </w:r>
      <w:r w:rsidRPr="0044670F">
        <w:t xml:space="preserve"> les pays en développement, s’inspirant de </w:t>
      </w:r>
      <w:r w:rsidRPr="00DA0088">
        <w:rPr>
          <w:color w:val="auto"/>
        </w:rPr>
        <w:t>l’expérience des pays développés en la matière, se sont lancés dans le processus d’élaboration des CS. Le</w:t>
      </w:r>
      <w:r w:rsidR="00B81029" w:rsidRPr="00DA0088">
        <w:rPr>
          <w:color w:val="auto"/>
        </w:rPr>
        <w:t>s dernières éditions</w:t>
      </w:r>
      <w:r w:rsidRPr="00DA0088">
        <w:rPr>
          <w:color w:val="auto"/>
        </w:rPr>
        <w:t xml:space="preserve"> des Comptes Nationaux de la Santé (CNS) en 1982, 1987, 2004. Le présent</w:t>
      </w:r>
      <w:r w:rsidRPr="0044670F">
        <w:t xml:space="preserve"> exercice portant sur l’année 2013 a été réalisé dans le nouveau système des comptes de la santé (SHA, 2011).  </w:t>
      </w:r>
      <w:r w:rsidR="00286A2E">
        <w:t xml:space="preserve">Le SHA 2011 utilise </w:t>
      </w:r>
      <w:r w:rsidR="00286A2E" w:rsidRPr="0044670F">
        <w:t xml:space="preserve">deux outils </w:t>
      </w:r>
      <w:r w:rsidR="00286A2E">
        <w:t>pour la production et l’analyse des données. Ces outils sont :</w:t>
      </w:r>
    </w:p>
    <w:p w:rsidR="00286A2E" w:rsidRPr="0044670F" w:rsidRDefault="00286A2E" w:rsidP="00286A2E">
      <w:pPr>
        <w:spacing w:after="0" w:line="312" w:lineRule="auto"/>
      </w:pPr>
      <w:r w:rsidRPr="0044670F">
        <w:t>-</w:t>
      </w:r>
      <w:r w:rsidRPr="0044670F">
        <w:tab/>
        <w:t>l’Outil de Production des Comptes de la Santé (HAPT) ;</w:t>
      </w:r>
    </w:p>
    <w:p w:rsidR="00F206F8" w:rsidRPr="0044670F" w:rsidRDefault="00286A2E" w:rsidP="00286A2E">
      <w:pPr>
        <w:spacing w:line="312" w:lineRule="auto"/>
      </w:pPr>
      <w:r w:rsidRPr="0044670F">
        <w:t>-</w:t>
      </w:r>
      <w:r w:rsidRPr="0044670F">
        <w:tab/>
        <w:t>l’Outil d’Analyse des Comptes de la Santé (HAAT).</w:t>
      </w:r>
    </w:p>
    <w:p w:rsidR="00180FF6" w:rsidRPr="00564513" w:rsidRDefault="00564513" w:rsidP="00564513">
      <w:pPr>
        <w:pStyle w:val="Titre2"/>
        <w:ind w:left="1080" w:hanging="720"/>
        <w:rPr>
          <w:rStyle w:val="Lienhypertexte"/>
          <w:color w:val="000000" w:themeColor="text1"/>
          <w:u w:val="none"/>
        </w:rPr>
      </w:pPr>
      <w:r w:rsidRPr="00564513">
        <w:rPr>
          <w:rStyle w:val="Lienhypertexte"/>
          <w:rFonts w:asciiTheme="minorHAnsi" w:hAnsiTheme="minorHAnsi"/>
          <w:color w:val="000000" w:themeColor="text1"/>
          <w:u w:val="none"/>
        </w:rPr>
        <w:t xml:space="preserve">2.3. </w:t>
      </w:r>
      <w:hyperlink w:anchor="_Toc224702704" w:history="1">
        <w:bookmarkStart w:id="23" w:name="_Toc413941222"/>
        <w:r w:rsidR="002E0A90">
          <w:rPr>
            <w:rStyle w:val="Lienhypertexte"/>
            <w:rFonts w:asciiTheme="minorHAnsi" w:hAnsiTheme="minorHAnsi"/>
            <w:color w:val="000000" w:themeColor="text1"/>
            <w:u w:val="none"/>
          </w:rPr>
          <w:t xml:space="preserve">Processus d’élaboration des comptes de la </w:t>
        </w:r>
      </w:hyperlink>
      <w:r w:rsidR="002E0A90">
        <w:rPr>
          <w:rStyle w:val="Lienhypertexte"/>
          <w:rFonts w:asciiTheme="minorHAnsi" w:hAnsiTheme="minorHAnsi"/>
          <w:color w:val="000000" w:themeColor="text1"/>
          <w:u w:val="none"/>
        </w:rPr>
        <w:t>santé</w:t>
      </w:r>
      <w:bookmarkEnd w:id="23"/>
    </w:p>
    <w:p w:rsidR="000556F9" w:rsidRPr="0044670F" w:rsidRDefault="000556F9" w:rsidP="00587784">
      <w:pPr>
        <w:spacing w:line="312" w:lineRule="auto"/>
        <w:rPr>
          <w:lang w:eastAsia="fr-FR"/>
        </w:rPr>
      </w:pPr>
      <w:r w:rsidRPr="0044670F">
        <w:rPr>
          <w:lang w:eastAsia="fr-FR"/>
        </w:rPr>
        <w:t xml:space="preserve">L’élaboration des comptes de </w:t>
      </w:r>
      <w:r w:rsidR="00B45C52" w:rsidRPr="0044670F">
        <w:rPr>
          <w:lang w:eastAsia="fr-FR"/>
        </w:rPr>
        <w:t>201</w:t>
      </w:r>
      <w:r w:rsidR="00B45C52">
        <w:rPr>
          <w:lang w:eastAsia="fr-FR"/>
        </w:rPr>
        <w:t>4</w:t>
      </w:r>
      <w:r w:rsidRPr="0044670F">
        <w:rPr>
          <w:lang w:eastAsia="fr-FR"/>
        </w:rPr>
        <w:t>du Mali s’est déroulée en 4 étapes :</w:t>
      </w:r>
    </w:p>
    <w:p w:rsidR="000556F9" w:rsidRPr="0044670F" w:rsidRDefault="000556F9" w:rsidP="007259B6">
      <w:pPr>
        <w:pStyle w:val="Paragraphedeliste"/>
        <w:numPr>
          <w:ilvl w:val="0"/>
          <w:numId w:val="3"/>
        </w:numPr>
        <w:spacing w:line="312" w:lineRule="auto"/>
        <w:ind w:left="426"/>
        <w:rPr>
          <w:lang w:eastAsia="fr-FR"/>
        </w:rPr>
      </w:pPr>
      <w:r w:rsidRPr="0044670F">
        <w:rPr>
          <w:lang w:eastAsia="fr-FR"/>
        </w:rPr>
        <w:t xml:space="preserve">La formation des </w:t>
      </w:r>
      <w:r w:rsidR="00B45C52">
        <w:rPr>
          <w:lang w:eastAsia="fr-FR"/>
        </w:rPr>
        <w:t>enquêteurs ;</w:t>
      </w:r>
    </w:p>
    <w:p w:rsidR="000556F9" w:rsidRPr="0044670F" w:rsidRDefault="000556F9" w:rsidP="007259B6">
      <w:pPr>
        <w:pStyle w:val="Paragraphedeliste"/>
        <w:numPr>
          <w:ilvl w:val="0"/>
          <w:numId w:val="3"/>
        </w:numPr>
        <w:spacing w:line="312" w:lineRule="auto"/>
        <w:ind w:left="426"/>
        <w:rPr>
          <w:lang w:eastAsia="fr-FR"/>
        </w:rPr>
      </w:pPr>
      <w:r w:rsidRPr="0044670F">
        <w:rPr>
          <w:lang w:eastAsia="fr-FR"/>
        </w:rPr>
        <w:t>La collecte des données</w:t>
      </w:r>
      <w:r w:rsidR="00B45C52">
        <w:rPr>
          <w:lang w:eastAsia="fr-FR"/>
        </w:rPr>
        <w:t> ;</w:t>
      </w:r>
    </w:p>
    <w:p w:rsidR="000556F9" w:rsidRPr="0044670F" w:rsidRDefault="000556F9" w:rsidP="007259B6">
      <w:pPr>
        <w:pStyle w:val="Paragraphedeliste"/>
        <w:numPr>
          <w:ilvl w:val="0"/>
          <w:numId w:val="3"/>
        </w:numPr>
        <w:spacing w:line="312" w:lineRule="auto"/>
        <w:ind w:left="426"/>
        <w:rPr>
          <w:lang w:eastAsia="fr-FR"/>
        </w:rPr>
      </w:pPr>
      <w:r w:rsidRPr="0044670F">
        <w:rPr>
          <w:lang w:eastAsia="fr-FR"/>
        </w:rPr>
        <w:t>Le traitement des données</w:t>
      </w:r>
      <w:r w:rsidR="00B45C52">
        <w:rPr>
          <w:lang w:eastAsia="fr-FR"/>
        </w:rPr>
        <w:t> ;</w:t>
      </w:r>
    </w:p>
    <w:p w:rsidR="000556F9" w:rsidRPr="0044670F" w:rsidRDefault="000556F9" w:rsidP="007259B6">
      <w:pPr>
        <w:pStyle w:val="Paragraphedeliste"/>
        <w:numPr>
          <w:ilvl w:val="0"/>
          <w:numId w:val="3"/>
        </w:numPr>
        <w:spacing w:line="312" w:lineRule="auto"/>
        <w:ind w:left="426"/>
        <w:rPr>
          <w:lang w:eastAsia="fr-FR"/>
        </w:rPr>
      </w:pPr>
      <w:r w:rsidRPr="0044670F">
        <w:rPr>
          <w:lang w:eastAsia="fr-FR"/>
        </w:rPr>
        <w:t>La rédaction</w:t>
      </w:r>
      <w:r w:rsidR="00286A2E">
        <w:rPr>
          <w:lang w:eastAsia="fr-FR"/>
        </w:rPr>
        <w:t xml:space="preserve"> du rapport</w:t>
      </w:r>
      <w:r w:rsidRPr="0044670F">
        <w:rPr>
          <w:lang w:eastAsia="fr-FR"/>
        </w:rPr>
        <w:t>.</w:t>
      </w:r>
    </w:p>
    <w:p w:rsidR="00942DE2" w:rsidRPr="0044670F" w:rsidRDefault="00FF3989" w:rsidP="009E5093">
      <w:pPr>
        <w:spacing w:line="312" w:lineRule="auto"/>
        <w:rPr>
          <w:lang w:eastAsia="fr-FR"/>
        </w:rPr>
      </w:pPr>
      <w:r w:rsidRPr="0044670F">
        <w:rPr>
          <w:lang w:eastAsia="fr-FR"/>
        </w:rPr>
        <w:t xml:space="preserve">En plus de la CPS, </w:t>
      </w:r>
      <w:r w:rsidR="00661C8C">
        <w:rPr>
          <w:lang w:eastAsia="fr-FR"/>
        </w:rPr>
        <w:t xml:space="preserve">d’autres structures, notamment </w:t>
      </w:r>
      <w:r w:rsidR="009E5093">
        <w:rPr>
          <w:lang w:eastAsia="fr-FR"/>
        </w:rPr>
        <w:t xml:space="preserve">l’INRSP, </w:t>
      </w:r>
      <w:r w:rsidR="00661C8C">
        <w:rPr>
          <w:lang w:eastAsia="fr-FR"/>
        </w:rPr>
        <w:t>l</w:t>
      </w:r>
      <w:r w:rsidR="009E5093">
        <w:rPr>
          <w:lang w:eastAsia="fr-FR"/>
        </w:rPr>
        <w:t xml:space="preserve">’INSTAT, </w:t>
      </w:r>
      <w:r w:rsidR="00661C8C">
        <w:rPr>
          <w:lang w:eastAsia="fr-FR"/>
        </w:rPr>
        <w:t>l</w:t>
      </w:r>
      <w:r w:rsidR="00661C8C" w:rsidRPr="0044670F">
        <w:rPr>
          <w:lang w:eastAsia="fr-FR"/>
        </w:rPr>
        <w:t xml:space="preserve">es </w:t>
      </w:r>
      <w:r w:rsidR="009E5093">
        <w:rPr>
          <w:lang w:eastAsia="fr-FR"/>
        </w:rPr>
        <w:t>DFM du Ministère de la Santé et l’Hygiène Publique, du Ministère de la Solidarité, de l’Action Humanitaire et de la Reconstruction du Nord, du Ministère de la Femme</w:t>
      </w:r>
      <w:r w:rsidR="00750627">
        <w:rPr>
          <w:lang w:eastAsia="fr-FR"/>
        </w:rPr>
        <w:t>,</w:t>
      </w:r>
      <w:r w:rsidR="009E5093">
        <w:rPr>
          <w:lang w:eastAsia="fr-FR"/>
        </w:rPr>
        <w:t xml:space="preserve"> de l’Enfant et de la Famille, </w:t>
      </w:r>
      <w:r w:rsidR="00661C8C">
        <w:rPr>
          <w:lang w:eastAsia="fr-FR"/>
        </w:rPr>
        <w:t xml:space="preserve">ainsi que </w:t>
      </w:r>
      <w:r w:rsidR="009E5093">
        <w:rPr>
          <w:lang w:eastAsia="fr-FR"/>
        </w:rPr>
        <w:t xml:space="preserve">la Direction Nationale de la Santé et </w:t>
      </w:r>
      <w:r w:rsidRPr="0044670F">
        <w:rPr>
          <w:lang w:eastAsia="fr-FR"/>
        </w:rPr>
        <w:t xml:space="preserve">la Direction </w:t>
      </w:r>
      <w:r w:rsidR="009E5093">
        <w:rPr>
          <w:lang w:eastAsia="fr-FR"/>
        </w:rPr>
        <w:t xml:space="preserve">Générale </w:t>
      </w:r>
      <w:r w:rsidRPr="0044670F">
        <w:rPr>
          <w:lang w:eastAsia="fr-FR"/>
        </w:rPr>
        <w:t>du Budget</w:t>
      </w:r>
      <w:r w:rsidR="00661C8C">
        <w:rPr>
          <w:lang w:eastAsia="fr-FR"/>
        </w:rPr>
        <w:t xml:space="preserve"> ont participé à l’élaboration de </w:t>
      </w:r>
      <w:r w:rsidR="00750627">
        <w:rPr>
          <w:lang w:eastAsia="fr-FR"/>
        </w:rPr>
        <w:t xml:space="preserve">cette </w:t>
      </w:r>
      <w:r w:rsidR="00661C8C">
        <w:rPr>
          <w:lang w:eastAsia="fr-FR"/>
        </w:rPr>
        <w:t>édition 2014 des CS</w:t>
      </w:r>
      <w:r w:rsidRPr="0044670F">
        <w:rPr>
          <w:lang w:eastAsia="fr-FR"/>
        </w:rPr>
        <w:t>.</w:t>
      </w:r>
    </w:p>
    <w:p w:rsidR="00765F9A" w:rsidRPr="00564513" w:rsidRDefault="00564513" w:rsidP="00564513">
      <w:pPr>
        <w:pStyle w:val="Titre2"/>
        <w:ind w:left="1080" w:hanging="720"/>
        <w:rPr>
          <w:rStyle w:val="Lienhypertexte"/>
          <w:rFonts w:asciiTheme="minorHAnsi" w:hAnsiTheme="minorHAnsi"/>
          <w:color w:val="000000" w:themeColor="text1"/>
          <w:u w:val="none"/>
        </w:rPr>
      </w:pPr>
      <w:r w:rsidRPr="00564513">
        <w:rPr>
          <w:rStyle w:val="Lienhypertexte"/>
          <w:rFonts w:asciiTheme="minorHAnsi" w:hAnsiTheme="minorHAnsi"/>
          <w:color w:val="000000" w:themeColor="text1"/>
          <w:u w:val="none"/>
        </w:rPr>
        <w:t xml:space="preserve">2.4. </w:t>
      </w:r>
      <w:hyperlink w:anchor="_Toc224702705" w:history="1">
        <w:bookmarkStart w:id="24" w:name="_Toc413941223"/>
        <w:r w:rsidR="006E21D4">
          <w:rPr>
            <w:rStyle w:val="Lienhypertexte"/>
            <w:rFonts w:asciiTheme="minorHAnsi" w:hAnsiTheme="minorHAnsi"/>
            <w:color w:val="000000" w:themeColor="text1"/>
            <w:u w:val="none"/>
          </w:rPr>
          <w:t>C</w:t>
        </w:r>
        <w:r w:rsidR="006E2F4C" w:rsidRPr="0044670F">
          <w:rPr>
            <w:rStyle w:val="Lienhypertexte"/>
            <w:rFonts w:asciiTheme="minorHAnsi" w:hAnsiTheme="minorHAnsi"/>
            <w:color w:val="000000" w:themeColor="text1"/>
            <w:u w:val="none"/>
          </w:rPr>
          <w:t>ollecte de données</w:t>
        </w:r>
      </w:hyperlink>
      <w:r w:rsidR="006E21D4">
        <w:rPr>
          <w:rStyle w:val="Lienhypertexte"/>
          <w:rFonts w:asciiTheme="minorHAnsi" w:hAnsiTheme="minorHAnsi"/>
          <w:color w:val="000000" w:themeColor="text1"/>
          <w:u w:val="none"/>
        </w:rPr>
        <w:t xml:space="preserve"> et méthodes</w:t>
      </w:r>
      <w:bookmarkEnd w:id="24"/>
    </w:p>
    <w:p w:rsidR="00942DE2" w:rsidRPr="0015760D" w:rsidRDefault="00564513" w:rsidP="00564513">
      <w:pPr>
        <w:pStyle w:val="Titre3"/>
        <w:ind w:left="1004" w:hanging="720"/>
      </w:pPr>
      <w:bookmarkStart w:id="25" w:name="_Toc413941224"/>
      <w:r>
        <w:t xml:space="preserve">2.4.1. </w:t>
      </w:r>
      <w:r w:rsidR="00F049AE" w:rsidRPr="0015760D">
        <w:t>Collecte</w:t>
      </w:r>
      <w:r w:rsidR="00942DE2" w:rsidRPr="0015760D">
        <w:t xml:space="preserve"> des données primaires</w:t>
      </w:r>
      <w:bookmarkEnd w:id="25"/>
    </w:p>
    <w:p w:rsidR="00F049AE" w:rsidRDefault="00F049AE" w:rsidP="00587784">
      <w:pPr>
        <w:spacing w:line="312" w:lineRule="auto"/>
      </w:pPr>
      <w:r w:rsidRPr="005813C9">
        <w:t>Pour  la collecte de ces données, le questionnaire de chaque entité a été généré. Sur la base de ces questionnaires, les enquêteurs ont</w:t>
      </w:r>
      <w:r w:rsidR="00B81029">
        <w:t xml:space="preserve"> été</w:t>
      </w:r>
      <w:r w:rsidRPr="005813C9">
        <w:t xml:space="preserve"> formés et déployés sur le terrain. Cette collecte a couvert toutes les régions du Mali, sauf celle de Kidal. </w:t>
      </w:r>
    </w:p>
    <w:p w:rsidR="00F049AE" w:rsidRDefault="00F049AE" w:rsidP="00587784">
      <w:pPr>
        <w:spacing w:line="312" w:lineRule="auto"/>
      </w:pPr>
      <w:r>
        <w:t>Les unités  de sondage sont les Organisations Non Gouvernementales (ONG), les Entreprises, les Compagnies d’assurance et les  bailleurs du système de santé.</w:t>
      </w:r>
    </w:p>
    <w:p w:rsidR="00F049AE" w:rsidRDefault="00F049AE" w:rsidP="00587784">
      <w:pPr>
        <w:spacing w:line="312" w:lineRule="auto"/>
      </w:pPr>
      <w:r>
        <w:t>Pour les ONG, la méthodologie prévoyait d’enquêter exhaustivement celles qui s</w:t>
      </w:r>
      <w:r w:rsidR="00B34E06">
        <w:t xml:space="preserve">ont internationales et </w:t>
      </w:r>
      <w:r>
        <w:t>d’effectuer un échantillonnage parmi les locales.</w:t>
      </w:r>
    </w:p>
    <w:p w:rsidR="00F049AE" w:rsidRDefault="00F049AE" w:rsidP="00587784">
      <w:pPr>
        <w:spacing w:line="312" w:lineRule="auto"/>
      </w:pPr>
      <w:r>
        <w:t xml:space="preserve">Pour les entreprises, l’équipe a utilisé le répertoire des entreprises de l’Institut National de la Statistique (INSTAT) </w:t>
      </w:r>
      <w:r w:rsidR="000560CB">
        <w:t>actualisé</w:t>
      </w:r>
      <w:r>
        <w:t xml:space="preserve"> afin de tirer un échantillon d’entreprises à enquêter.</w:t>
      </w:r>
    </w:p>
    <w:p w:rsidR="00F049AE" w:rsidRDefault="00F049AE" w:rsidP="00587784">
      <w:pPr>
        <w:spacing w:line="312" w:lineRule="auto"/>
      </w:pPr>
      <w:r>
        <w:t>En ce qui concerne les compagnies d’assurance, il a été convenu de les enquêter exhaustivement.</w:t>
      </w:r>
    </w:p>
    <w:p w:rsidR="00F049AE" w:rsidRDefault="00F049AE" w:rsidP="00587784">
      <w:pPr>
        <w:spacing w:line="312" w:lineRule="auto"/>
      </w:pPr>
      <w:r>
        <w:t xml:space="preserve">Les données de </w:t>
      </w:r>
      <w:r w:rsidR="003E4AC7">
        <w:t>dix-sept</w:t>
      </w:r>
      <w:r>
        <w:t xml:space="preserve"> (</w:t>
      </w:r>
      <w:r w:rsidR="000560CB">
        <w:t>17</w:t>
      </w:r>
      <w:r>
        <w:t xml:space="preserve">) partenaires techniques et financiers (PTF) ont été </w:t>
      </w:r>
      <w:r w:rsidR="003E4AC7">
        <w:t xml:space="preserve">organisées </w:t>
      </w:r>
      <w:r>
        <w:t xml:space="preserve">et </w:t>
      </w:r>
      <w:r w:rsidR="00AC6AB2">
        <w:t>analysées</w:t>
      </w:r>
      <w:r>
        <w:t>. Quant au</w:t>
      </w:r>
      <w:r w:rsidR="00B34E06">
        <w:t>x</w:t>
      </w:r>
      <w:r>
        <w:t xml:space="preserve"> ONG, les données de vingt-neuf (29)  ont pu être collectées.</w:t>
      </w:r>
    </w:p>
    <w:p w:rsidR="004F2492" w:rsidRDefault="00B05714" w:rsidP="00587784">
      <w:pPr>
        <w:spacing w:line="312" w:lineRule="auto"/>
      </w:pPr>
      <w:r>
        <w:t>Concernant les</w:t>
      </w:r>
      <w:r w:rsidR="009721AB">
        <w:t xml:space="preserve"> </w:t>
      </w:r>
      <w:r w:rsidR="00F049AE">
        <w:t>difficultés</w:t>
      </w:r>
      <w:r w:rsidR="009721AB">
        <w:t xml:space="preserve">  </w:t>
      </w:r>
      <w:r w:rsidR="00E34E0C">
        <w:t xml:space="preserve"> de </w:t>
      </w:r>
      <w:r w:rsidR="00F049AE">
        <w:t xml:space="preserve">la collecte de données, </w:t>
      </w:r>
      <w:r w:rsidR="004F2492">
        <w:t>l’</w:t>
      </w:r>
      <w:r w:rsidR="00F30806">
        <w:t>enquête</w:t>
      </w:r>
      <w:r w:rsidR="004F2492">
        <w:t xml:space="preserve"> a été confrontée à </w:t>
      </w:r>
      <w:r w:rsidR="00E34E0C">
        <w:t xml:space="preserve">deux problèmes majeurs </w:t>
      </w:r>
      <w:r w:rsidR="004F2492">
        <w:t>:</w:t>
      </w:r>
    </w:p>
    <w:p w:rsidR="00266DAB" w:rsidRDefault="004F2492" w:rsidP="00947090">
      <w:pPr>
        <w:pStyle w:val="Paragraphedeliste"/>
        <w:numPr>
          <w:ilvl w:val="0"/>
          <w:numId w:val="3"/>
        </w:numPr>
        <w:spacing w:line="312" w:lineRule="auto"/>
      </w:pPr>
      <w:r>
        <w:t>La réticence de certaines entités à communiquer leurs dépenses de santé ;</w:t>
      </w:r>
    </w:p>
    <w:p w:rsidR="00AD757A" w:rsidRDefault="004F2492" w:rsidP="00947090">
      <w:pPr>
        <w:pStyle w:val="Paragraphedeliste"/>
        <w:numPr>
          <w:ilvl w:val="0"/>
          <w:numId w:val="3"/>
        </w:numPr>
        <w:spacing w:line="312" w:lineRule="auto"/>
      </w:pPr>
      <w:r>
        <w:t xml:space="preserve">Le caractère trop agrégé des </w:t>
      </w:r>
      <w:r w:rsidR="00E34E0C">
        <w:t>dépenses de santé</w:t>
      </w:r>
      <w:r>
        <w:t xml:space="preserve"> de certains PTF, les rendant difficilement exploitables</w:t>
      </w:r>
      <w:r w:rsidR="00F049AE">
        <w:t>.</w:t>
      </w:r>
    </w:p>
    <w:p w:rsidR="00AD757A" w:rsidRDefault="00AD757A" w:rsidP="00750033">
      <w:pPr>
        <w:pStyle w:val="Paragraphedeliste"/>
        <w:spacing w:line="312" w:lineRule="auto"/>
      </w:pPr>
    </w:p>
    <w:p w:rsidR="00266DAB" w:rsidRDefault="00AD757A" w:rsidP="00C63457">
      <w:pPr>
        <w:pStyle w:val="Titre3"/>
        <w:ind w:left="284"/>
      </w:pPr>
      <w:r>
        <w:t>2.4.2</w:t>
      </w:r>
      <w:r w:rsidR="00F049AE">
        <w:t>.</w:t>
      </w:r>
      <w:bookmarkStart w:id="26" w:name="_Toc413941225"/>
      <w:r w:rsidR="00942DE2" w:rsidRPr="0044670F">
        <w:t>Collecte des données secondaires</w:t>
      </w:r>
      <w:bookmarkEnd w:id="26"/>
    </w:p>
    <w:p w:rsidR="00942DE2" w:rsidRPr="0044670F" w:rsidRDefault="004020AE" w:rsidP="00587784">
      <w:pPr>
        <w:spacing w:line="312" w:lineRule="auto"/>
      </w:pPr>
      <w:r>
        <w:t>Elle a</w:t>
      </w:r>
      <w:r w:rsidR="00942DE2" w:rsidRPr="0044670F">
        <w:t xml:space="preserve"> consisté à l’exploitation des rapports d’activité</w:t>
      </w:r>
      <w:r w:rsidR="007F33F9">
        <w:t>s</w:t>
      </w:r>
      <w:r w:rsidR="00942DE2" w:rsidRPr="0044670F">
        <w:t xml:space="preserve"> des structures de santé, </w:t>
      </w:r>
      <w:r w:rsidR="007F33F9">
        <w:t xml:space="preserve"> la situation d’exécution du budget</w:t>
      </w:r>
      <w:r w:rsidR="00942DE2" w:rsidRPr="0044670F">
        <w:t xml:space="preserve"> des Départements ministériels fournis par la Direction Générale du Budget, des rapports d’enquête auprès des ménages, du Système Local d’Information Sanitaire (SLIS) et du Système d’Information Hospitalier (SIH).</w:t>
      </w:r>
    </w:p>
    <w:p w:rsidR="00266DAB" w:rsidRDefault="002E09A0" w:rsidP="00947090">
      <w:pPr>
        <w:pStyle w:val="Titre3"/>
        <w:ind w:left="284"/>
      </w:pPr>
      <w:bookmarkStart w:id="27" w:name="_Toc413941226"/>
      <w:r>
        <w:t>2.4</w:t>
      </w:r>
      <w:r w:rsidR="00AD757A">
        <w:t>.</w:t>
      </w:r>
      <w:r>
        <w:t xml:space="preserve">3. </w:t>
      </w:r>
      <w:r w:rsidR="00942DE2" w:rsidRPr="0044670F">
        <w:t>Estimation des dépenses de santé des ménages</w:t>
      </w:r>
      <w:bookmarkEnd w:id="27"/>
    </w:p>
    <w:p w:rsidR="00942DE2" w:rsidRPr="004A3B3F" w:rsidRDefault="00942DE2" w:rsidP="00587784">
      <w:pPr>
        <w:spacing w:line="312" w:lineRule="auto"/>
      </w:pPr>
      <w:r w:rsidRPr="000F67AD">
        <w:t>Les dépenses de santé des ménages ont été estimées à partir des enquêtes ménage déjà disponibles  (EDSM IV, EDSM V et EMOP 2013). Il convient de rappeler que le Mali a introduit u</w:t>
      </w:r>
      <w:r w:rsidRPr="004A3B3F">
        <w:t>n module dépense</w:t>
      </w:r>
      <w:r w:rsidR="00B34E06" w:rsidRPr="004A3B3F">
        <w:t>s</w:t>
      </w:r>
      <w:r w:rsidRPr="004A3B3F">
        <w:t xml:space="preserve"> de santé dans l’EDSM en 2006afin d’estimer les dépenses de santé des ménages.</w:t>
      </w:r>
    </w:p>
    <w:p w:rsidR="004A3B3F" w:rsidRPr="004A3B3F" w:rsidRDefault="004A3B3F" w:rsidP="004A3B3F">
      <w:pPr>
        <w:spacing w:line="312" w:lineRule="auto"/>
        <w:rPr>
          <w:lang w:eastAsia="fr-FR"/>
        </w:rPr>
      </w:pPr>
      <w:r w:rsidRPr="004A3B3F">
        <w:rPr>
          <w:lang w:eastAsia="fr-FR"/>
        </w:rPr>
        <w:t xml:space="preserve">Compte tenu du niveau  de couverture variable des deux dernières EDSM et des spécificités de certaines régions administratives, nous avons estimé les dépenses de santé des ménages en deux étapes :  </w:t>
      </w:r>
    </w:p>
    <w:p w:rsidR="004A3B3F" w:rsidRPr="004A3B3F" w:rsidRDefault="004A3B3F" w:rsidP="004A3B3F">
      <w:pPr>
        <w:numPr>
          <w:ilvl w:val="0"/>
          <w:numId w:val="3"/>
        </w:numPr>
        <w:spacing w:line="312" w:lineRule="auto"/>
        <w:contextualSpacing/>
        <w:rPr>
          <w:lang w:eastAsia="fr-FR"/>
        </w:rPr>
      </w:pPr>
      <w:r w:rsidRPr="004A3B3F">
        <w:rPr>
          <w:lang w:eastAsia="fr-FR"/>
        </w:rPr>
        <w:t xml:space="preserve">Dans un premier temps, les dépenses de santé ont été calculées par région sur la base des résultats des  EDSM IV, V, de l’EMOP, du RGPH 2009 et Perspectives de Populations Résidentes de la DNP, en tenant compte des tailles de populations, des différents taux de morbidité, d’accroissement des dépenses de santé, des effets de la saisonnalité des dépenses et de l’IHPC sur la période ; </w:t>
      </w:r>
    </w:p>
    <w:p w:rsidR="004A3B3F" w:rsidRPr="004A3B3F" w:rsidRDefault="004A3B3F" w:rsidP="004A3B3F">
      <w:pPr>
        <w:spacing w:line="312" w:lineRule="auto"/>
        <w:ind w:left="720"/>
        <w:contextualSpacing/>
        <w:rPr>
          <w:lang w:eastAsia="fr-FR"/>
        </w:rPr>
      </w:pPr>
    </w:p>
    <w:p w:rsidR="004A3B3F" w:rsidRPr="004A3B3F" w:rsidRDefault="004A3B3F" w:rsidP="004A3B3F">
      <w:pPr>
        <w:numPr>
          <w:ilvl w:val="0"/>
          <w:numId w:val="3"/>
        </w:numPr>
        <w:spacing w:line="312" w:lineRule="auto"/>
        <w:contextualSpacing/>
        <w:rPr>
          <w:lang w:eastAsia="fr-FR"/>
        </w:rPr>
      </w:pPr>
      <w:r w:rsidRPr="004A3B3F">
        <w:rPr>
          <w:lang w:eastAsia="fr-FR"/>
        </w:rPr>
        <w:t>Dans une seconde étape, les dépenses de santé des ménages des différentes régions ont été additionnées pour avoir les estimations pour l’ensemble du pays ;</w:t>
      </w:r>
    </w:p>
    <w:p w:rsidR="002A00E5" w:rsidRDefault="002A00E5" w:rsidP="00587784">
      <w:pPr>
        <w:spacing w:line="312" w:lineRule="auto"/>
        <w:rPr>
          <w:b/>
          <w:lang w:eastAsia="fr-FR"/>
        </w:rPr>
      </w:pPr>
    </w:p>
    <w:p w:rsidR="00C63457" w:rsidRDefault="00C63457" w:rsidP="00587784">
      <w:pPr>
        <w:spacing w:line="312" w:lineRule="auto"/>
        <w:rPr>
          <w:b/>
          <w:lang w:eastAsia="fr-FR"/>
        </w:rPr>
      </w:pPr>
    </w:p>
    <w:p w:rsidR="00C63457" w:rsidRDefault="00C63457" w:rsidP="00587784">
      <w:pPr>
        <w:spacing w:line="312" w:lineRule="auto"/>
        <w:rPr>
          <w:b/>
          <w:lang w:eastAsia="fr-FR"/>
        </w:rPr>
      </w:pPr>
    </w:p>
    <w:p w:rsidR="001E40D0" w:rsidRPr="002E0A90" w:rsidRDefault="001E40D0" w:rsidP="00587784">
      <w:pPr>
        <w:spacing w:line="312" w:lineRule="auto"/>
        <w:rPr>
          <w:b/>
          <w:lang w:eastAsia="fr-FR"/>
        </w:rPr>
      </w:pPr>
      <w:r w:rsidRPr="002E0A90">
        <w:rPr>
          <w:b/>
          <w:lang w:eastAsia="fr-FR"/>
        </w:rPr>
        <w:t xml:space="preserve">Triangulation : </w:t>
      </w:r>
    </w:p>
    <w:p w:rsidR="001E40D0" w:rsidRPr="0044670F" w:rsidRDefault="001E40D0" w:rsidP="00587784">
      <w:pPr>
        <w:spacing w:line="312" w:lineRule="auto"/>
        <w:rPr>
          <w:lang w:eastAsia="fr-FR"/>
        </w:rPr>
      </w:pPr>
      <w:r w:rsidRPr="0044670F">
        <w:rPr>
          <w:lang w:eastAsia="fr-FR"/>
        </w:rPr>
        <w:t>Certaines triangulations ont été faites  en croisant différentes sources pour les mêmes données en vue d’éliminer les doubles comptes.</w:t>
      </w:r>
      <w:r w:rsidR="002E0A90">
        <w:rPr>
          <w:lang w:eastAsia="fr-FR"/>
        </w:rPr>
        <w:t xml:space="preserve"> Il s’agit notamment des dépenses des partenaires techniques et financiers qui ont été rapportées par eux-mêmes et éventuellement par les structures gouvernementales et les ONG.</w:t>
      </w:r>
    </w:p>
    <w:p w:rsidR="00942DE2" w:rsidRPr="0044670F" w:rsidRDefault="00564513" w:rsidP="00564513">
      <w:pPr>
        <w:pStyle w:val="Titre2"/>
        <w:ind w:left="1080" w:hanging="720"/>
      </w:pPr>
      <w:bookmarkStart w:id="28" w:name="_Toc413941227"/>
      <w:r>
        <w:t xml:space="preserve">2.5. </w:t>
      </w:r>
      <w:r w:rsidR="00942DE2" w:rsidRPr="0044670F">
        <w:t>Elaboration des clés de répartition</w:t>
      </w:r>
      <w:bookmarkEnd w:id="28"/>
    </w:p>
    <w:p w:rsidR="00521B6B" w:rsidRPr="00A86416" w:rsidRDefault="001E40D0" w:rsidP="002C265B">
      <w:pPr>
        <w:pStyle w:val="Default"/>
        <w:spacing w:after="240" w:line="312" w:lineRule="auto"/>
        <w:jc w:val="both"/>
      </w:pPr>
      <w:r w:rsidRPr="00A86416">
        <w:t>Pour répartir les dépenses transversales entre des sous classes</w:t>
      </w:r>
      <w:r w:rsidR="00DC6488" w:rsidRPr="00A86416">
        <w:t>,</w:t>
      </w:r>
      <w:r w:rsidRPr="00A86416">
        <w:t xml:space="preserve"> l’util</w:t>
      </w:r>
      <w:r w:rsidR="00DC6488" w:rsidRPr="00A86416">
        <w:t>i</w:t>
      </w:r>
      <w:r w:rsidRPr="00A86416">
        <w:t>sation des clés</w:t>
      </w:r>
      <w:r w:rsidR="00DC6488" w:rsidRPr="00A86416">
        <w:t xml:space="preserve"> de répartition </w:t>
      </w:r>
      <w:r w:rsidRPr="00A86416">
        <w:t>a été nécessaire</w:t>
      </w:r>
      <w:r w:rsidR="00DC6488" w:rsidRPr="00A86416">
        <w:t>. Ces clés ont été élaborées à partir des annuaires statistiques du système national d’information sanitaire, l’EDSM, L’EMOP, les rapports d’activités de certains programmes etc.</w:t>
      </w:r>
      <w:r w:rsidR="006E61D5" w:rsidRPr="00A86416">
        <w:t xml:space="preserve">  La liste de ces clés est en annexe.</w:t>
      </w:r>
    </w:p>
    <w:p w:rsidR="006E2F4C" w:rsidRPr="0044670F" w:rsidRDefault="00564513" w:rsidP="00564513">
      <w:pPr>
        <w:pStyle w:val="Titre2"/>
        <w:ind w:left="1080" w:hanging="720"/>
      </w:pPr>
      <w:bookmarkStart w:id="29" w:name="_Toc413941228"/>
      <w:r>
        <w:t xml:space="preserve">2.6. </w:t>
      </w:r>
      <w:r w:rsidR="006E2F4C" w:rsidRPr="0044670F">
        <w:t>Difficultés rencontrées</w:t>
      </w:r>
      <w:r w:rsidR="00537E93" w:rsidRPr="0044670F">
        <w:t xml:space="preserve"> et limites de l’étude</w:t>
      </w:r>
      <w:bookmarkEnd w:id="29"/>
    </w:p>
    <w:p w:rsidR="00537E93" w:rsidRPr="0044670F" w:rsidRDefault="00DC5D5E" w:rsidP="00587784">
      <w:pPr>
        <w:spacing w:line="312" w:lineRule="auto"/>
      </w:pPr>
      <w:r w:rsidRPr="0044670F">
        <w:t>Au cours de ce processus, nous avons rencontré entre aut</w:t>
      </w:r>
      <w:r w:rsidR="00320CA7">
        <w:t>res les difficultés suivantes :</w:t>
      </w:r>
    </w:p>
    <w:p w:rsidR="00DC5D5E" w:rsidRPr="0044670F" w:rsidRDefault="00371DE8" w:rsidP="00320CA7">
      <w:pPr>
        <w:pStyle w:val="Paragraphedeliste"/>
        <w:numPr>
          <w:ilvl w:val="0"/>
          <w:numId w:val="2"/>
        </w:numPr>
        <w:tabs>
          <w:tab w:val="left" w:pos="284"/>
        </w:tabs>
        <w:spacing w:line="312" w:lineRule="auto"/>
        <w:ind w:left="426"/>
      </w:pPr>
      <w:r>
        <w:t xml:space="preserve">Le </w:t>
      </w:r>
      <w:r w:rsidR="00DC5D5E" w:rsidRPr="0044670F">
        <w:t xml:space="preserve">retard dans le décaissement des fonds </w:t>
      </w:r>
      <w:r w:rsidR="00521B6B" w:rsidRPr="0044670F">
        <w:t>pour la réalisation</w:t>
      </w:r>
      <w:r w:rsidR="00577362" w:rsidRPr="0044670F">
        <w:t xml:space="preserve"> de l’activité ;</w:t>
      </w:r>
    </w:p>
    <w:p w:rsidR="007B3A29" w:rsidRDefault="00371DE8" w:rsidP="00587784">
      <w:pPr>
        <w:pStyle w:val="Paragraphedeliste"/>
        <w:numPr>
          <w:ilvl w:val="0"/>
          <w:numId w:val="2"/>
        </w:numPr>
        <w:tabs>
          <w:tab w:val="left" w:pos="284"/>
        </w:tabs>
        <w:spacing w:line="312" w:lineRule="auto"/>
        <w:ind w:left="426"/>
      </w:pPr>
      <w:r>
        <w:t xml:space="preserve">La </w:t>
      </w:r>
      <w:r w:rsidR="00577362" w:rsidRPr="0044670F">
        <w:t>non tenue des assises du lancement et du comité de pilotage ;</w:t>
      </w:r>
    </w:p>
    <w:p w:rsidR="007B3A29" w:rsidRDefault="00371DE8" w:rsidP="00587784">
      <w:pPr>
        <w:pStyle w:val="Paragraphedeliste"/>
        <w:numPr>
          <w:ilvl w:val="0"/>
          <w:numId w:val="2"/>
        </w:numPr>
        <w:tabs>
          <w:tab w:val="left" w:pos="284"/>
        </w:tabs>
        <w:spacing w:line="312" w:lineRule="auto"/>
        <w:ind w:left="426"/>
      </w:pPr>
      <w:r>
        <w:t xml:space="preserve">Les </w:t>
      </w:r>
      <w:r w:rsidR="007B3A29">
        <w:t>d</w:t>
      </w:r>
      <w:r w:rsidR="00B72BC3" w:rsidRPr="0044670F">
        <w:rPr>
          <w:lang w:eastAsia="en-US"/>
        </w:rPr>
        <w:t>ifficultés de disposer des données exhaustives au niveau de certaines structures notamment les assurances, les entreprises</w:t>
      </w:r>
      <w:r w:rsidR="00537E93" w:rsidRPr="0044670F">
        <w:rPr>
          <w:lang w:eastAsia="en-US"/>
        </w:rPr>
        <w:t>, les ONG</w:t>
      </w:r>
      <w:r w:rsidR="00B72BC3" w:rsidRPr="0044670F">
        <w:rPr>
          <w:lang w:eastAsia="en-US"/>
        </w:rPr>
        <w:t xml:space="preserve"> et des informations claires relative</w:t>
      </w:r>
      <w:r w:rsidR="007B3A29">
        <w:rPr>
          <w:lang w:eastAsia="en-US"/>
        </w:rPr>
        <w:t>s aux médicaments traditionnels ;</w:t>
      </w:r>
    </w:p>
    <w:p w:rsidR="007B3A29" w:rsidRDefault="00371DE8" w:rsidP="00587784">
      <w:pPr>
        <w:pStyle w:val="Paragraphedeliste"/>
        <w:numPr>
          <w:ilvl w:val="0"/>
          <w:numId w:val="2"/>
        </w:numPr>
        <w:tabs>
          <w:tab w:val="left" w:pos="284"/>
        </w:tabs>
        <w:spacing w:line="312" w:lineRule="auto"/>
        <w:ind w:left="426"/>
      </w:pPr>
      <w:r>
        <w:rPr>
          <w:lang w:eastAsia="en-US"/>
        </w:rPr>
        <w:t xml:space="preserve">La </w:t>
      </w:r>
      <w:r w:rsidR="007B3A29">
        <w:rPr>
          <w:lang w:eastAsia="en-US"/>
        </w:rPr>
        <w:t>f</w:t>
      </w:r>
      <w:r w:rsidR="00B72BC3" w:rsidRPr="0044670F">
        <w:rPr>
          <w:lang w:eastAsia="en-US"/>
        </w:rPr>
        <w:t>aiblesse du système d’information existant au niveau de plusieurs structures rend</w:t>
      </w:r>
      <w:r w:rsidR="007B3A29">
        <w:rPr>
          <w:lang w:eastAsia="en-US"/>
        </w:rPr>
        <w:t>ant</w:t>
      </w:r>
      <w:r w:rsidR="00B72BC3" w:rsidRPr="0044670F">
        <w:rPr>
          <w:lang w:eastAsia="en-US"/>
        </w:rPr>
        <w:t xml:space="preserve"> difficile l’a</w:t>
      </w:r>
      <w:r w:rsidR="007B3A29">
        <w:rPr>
          <w:lang w:eastAsia="en-US"/>
        </w:rPr>
        <w:t>ccès à l’information recherchée ;</w:t>
      </w:r>
    </w:p>
    <w:p w:rsidR="007B3A29" w:rsidRDefault="00363F73" w:rsidP="00587784">
      <w:pPr>
        <w:pStyle w:val="Paragraphedeliste"/>
        <w:numPr>
          <w:ilvl w:val="0"/>
          <w:numId w:val="2"/>
        </w:numPr>
        <w:tabs>
          <w:tab w:val="left" w:pos="284"/>
        </w:tabs>
        <w:spacing w:line="312" w:lineRule="auto"/>
        <w:ind w:left="426"/>
      </w:pPr>
      <w:r>
        <w:rPr>
          <w:lang w:eastAsia="en-US"/>
        </w:rPr>
        <w:t xml:space="preserve">Le </w:t>
      </w:r>
      <w:r w:rsidRPr="0044670F">
        <w:rPr>
          <w:lang w:eastAsia="en-US"/>
        </w:rPr>
        <w:t>peu d’intérêt</w:t>
      </w:r>
      <w:r>
        <w:rPr>
          <w:lang w:eastAsia="en-US"/>
        </w:rPr>
        <w:t xml:space="preserve"> accordé par </w:t>
      </w:r>
      <w:r w:rsidR="007B3A29">
        <w:rPr>
          <w:lang w:eastAsia="en-US"/>
        </w:rPr>
        <w:t>c</w:t>
      </w:r>
      <w:r w:rsidR="00B72BC3" w:rsidRPr="0044670F">
        <w:rPr>
          <w:lang w:eastAsia="en-US"/>
        </w:rPr>
        <w:t xml:space="preserve">ertaines structures publiques </w:t>
      </w:r>
      <w:r w:rsidR="00537E93" w:rsidRPr="0044670F">
        <w:rPr>
          <w:lang w:eastAsia="en-US"/>
        </w:rPr>
        <w:t>et</w:t>
      </w:r>
      <w:r w:rsidR="00B72BC3" w:rsidRPr="0044670F">
        <w:rPr>
          <w:lang w:eastAsia="en-US"/>
        </w:rPr>
        <w:t xml:space="preserve"> certains partenaires techniques et financiers à fournir les informations </w:t>
      </w:r>
      <w:r>
        <w:rPr>
          <w:lang w:eastAsia="en-US"/>
        </w:rPr>
        <w:t>.</w:t>
      </w:r>
      <w:r w:rsidR="007B3A29">
        <w:rPr>
          <w:lang w:eastAsia="en-US"/>
        </w:rPr>
        <w:t>;</w:t>
      </w:r>
    </w:p>
    <w:p w:rsidR="0040018B" w:rsidRPr="0044670F" w:rsidRDefault="00363F73" w:rsidP="00587784">
      <w:pPr>
        <w:pStyle w:val="Paragraphedeliste"/>
        <w:numPr>
          <w:ilvl w:val="0"/>
          <w:numId w:val="2"/>
        </w:numPr>
        <w:tabs>
          <w:tab w:val="left" w:pos="284"/>
        </w:tabs>
        <w:spacing w:line="312" w:lineRule="auto"/>
        <w:ind w:left="426"/>
      </w:pPr>
      <w:r>
        <w:rPr>
          <w:lang w:eastAsia="en-US"/>
        </w:rPr>
        <w:t>L’</w:t>
      </w:r>
      <w:r w:rsidR="0040018B" w:rsidRPr="0044670F">
        <w:rPr>
          <w:lang w:eastAsia="en-US"/>
        </w:rPr>
        <w:t>insuffisance dans l’élaboration des clés</w:t>
      </w:r>
      <w:r>
        <w:rPr>
          <w:lang w:eastAsia="en-US"/>
        </w:rPr>
        <w:t xml:space="preserve"> de répartition</w:t>
      </w:r>
      <w:r w:rsidR="0040018B" w:rsidRPr="0044670F">
        <w:rPr>
          <w:lang w:eastAsia="en-US"/>
        </w:rPr>
        <w:t xml:space="preserve"> due à la multiplicité des sources utilisées.</w:t>
      </w:r>
    </w:p>
    <w:p w:rsidR="00EA2F93" w:rsidRDefault="00EA2F93" w:rsidP="00587784">
      <w:pPr>
        <w:spacing w:line="312" w:lineRule="auto"/>
        <w:rPr>
          <w:b/>
          <w:sz w:val="28"/>
          <w:szCs w:val="28"/>
        </w:rPr>
      </w:pPr>
      <w:r w:rsidRPr="0044670F">
        <w:rPr>
          <w:lang w:eastAsia="fr-FR"/>
        </w:rPr>
        <w:br w:type="page"/>
      </w:r>
    </w:p>
    <w:p w:rsidR="000C22E9" w:rsidRDefault="00E72F8E" w:rsidP="00587784">
      <w:pPr>
        <w:spacing w:line="312" w:lineRule="auto"/>
        <w:rPr>
          <w:b/>
          <w:sz w:val="28"/>
          <w:szCs w:val="28"/>
        </w:rPr>
      </w:pPr>
      <w:r w:rsidRPr="00E72F8E">
        <w:rPr>
          <w:noProof/>
          <w:lang w:eastAsia="fr-FR"/>
        </w:rPr>
        <w:pict>
          <v:shape id="Organigramme : Bande perforée 11" o:spid="_x0000_s1030" type="#_x0000_t122" style="position:absolute;left:0;text-align:left;margin-left:0;margin-top:0;width:462pt;height:69.75pt;z-index:251658752;visibility:visible;mso-position-horizontal:center;mso-position-horizontal-relative:margin;mso-position-vertical:center;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mIlAIAAF0FAAAOAAAAZHJzL2Uyb0RvYy54bWysVM1uEzEQviPxDpbvdJMoacOqmyqkKkKK&#10;2ogW9ex47eyq6x/GTnbD03Dta8CLMfb+tNCKA+Ji2Z75xjPzfePzi0ZV5CDAlUZndHwyokRobvJS&#10;7zL65e7q3ZwS55nOWWW0yOhROHqxePvmvLapmJjCVLkAgkG0S2ub0cJ7myaJ44VQzJ0YKzQapQHF&#10;PB5hl+TAaoyuqmQyGp0mtYHcguHCOby9bI10EeNLKbi/kdIJT6qMYm4+rhDXbViTxTlLd8BsUfIu&#10;DfYPWShWanx0CHXJPCN7KF+EUiUH44z0J9yoxEhZchFrwGrGoz+quS2YFbEWbI6zQ5vc/wvLrw8b&#10;IGWO3I0p0UwhRzewY7rEpiglfnxPyQekTxArAGn4+SgIemLbautSRN/aDYTCnV0b/uDQkPxmCQfX&#10;+TQSVPDFskkTOTgOHIjGE46Xs/np2XSEVHG0zeez+WQWXktY2qMtOP9RGEXCJqOyMvWqYOA3e42q&#10;ye/anrGUHdbOt9Ae0iXX5hMz88dKhJQq/VlI7ANmMIlERgWKVQXkwFA7+UMsGtOIngEiy6oaQOPX&#10;QJXvQZ1vgImoygE4eg349NrgHV802g9AVWoDfwfL1r+vuq01lO2bbRNJn/ZMbk1+RCGAaSfEWX5V&#10;YnvXzPkNAxwJZATH3N/gEjqeUdPtKCkMfHvtPvijUtFKSY0jllH3dc9AUFJ90qjh9+PpNMxkPExn&#10;ZxM8wHPL9rlF79XKIBMoU8wuboO/r/qtBKPu8TdYhlfRxFAOBkede+gPK9+OPgqZi+UyuuEcWubX&#10;+tbyEDz0OcjlrrlnYDuNeVTntenH8YW0Wt+A1Ga590aWUXeh021fOwZwhqOSu/8mfBLPz9Hr6Vdc&#10;/AIAAP//AwBQSwMEFAAGAAgAAAAhAD40ScrbAAAABQEAAA8AAABkcnMvZG93bnJldi54bWxMj1FL&#10;w0AQhN+F/odjC77ZS1MVG3MpRTSICGLTH3DNbZPQ3F56d23jv3f1RV8Whhlmv8lXo+3FGX3oHCmY&#10;zxIQSLUzHTUKttXLzQOIEDUZ3TtCBV8YYFVMrnKdGXehTzxvYiO4hEKmFbQxDpmUoW7R6jBzAxJ7&#10;e+etjix9I43XFy63vUyT5F5a3RF/aPWATy3Wh83JKii31ZiGYfH+/LE++ohV+Va9lkpdT8f1I4iI&#10;Y/wLww8+o0PBTDt3IhNEr4CHxN/L3jK9Zbnj0GJ5B7LI5X/64hsAAP//AwBQSwECLQAUAAYACAAA&#10;ACEAtoM4kv4AAADhAQAAEwAAAAAAAAAAAAAAAAAAAAAAW0NvbnRlbnRfVHlwZXNdLnhtbFBLAQIt&#10;ABQABgAIAAAAIQA4/SH/1gAAAJQBAAALAAAAAAAAAAAAAAAAAC8BAABfcmVscy8ucmVsc1BLAQIt&#10;ABQABgAIAAAAIQDBPKmIlAIAAF0FAAAOAAAAAAAAAAAAAAAAAC4CAABkcnMvZTJvRG9jLnhtbFBL&#10;AQItABQABgAIAAAAIQA+NEnK2wAAAAUBAAAPAAAAAAAAAAAAAAAAAO4EAABkcnMvZG93bnJldi54&#10;bWxQSwUGAAAAAAQABADzAAAA9gUAAAAA&#10;" fillcolor="white [3201]" strokecolor="black [3200]" strokeweight="2pt">
            <v:path arrowok="t"/>
            <v:textbox>
              <w:txbxContent>
                <w:p w:rsidR="009721AB" w:rsidRPr="00E913F6" w:rsidRDefault="009721AB" w:rsidP="00286A2E">
                  <w:pPr>
                    <w:spacing w:line="312" w:lineRule="auto"/>
                    <w:ind w:left="1416" w:firstLine="708"/>
                    <w:rPr>
                      <w:color w:val="000000" w:themeColor="text1"/>
                      <w:sz w:val="48"/>
                    </w:rPr>
                  </w:pPr>
                  <w:r>
                    <w:rPr>
                      <w:color w:val="000000" w:themeColor="text1"/>
                      <w:sz w:val="48"/>
                    </w:rPr>
                    <w:t>DEUXIEME</w:t>
                  </w:r>
                  <w:r w:rsidRPr="00E913F6">
                    <w:rPr>
                      <w:color w:val="000000" w:themeColor="text1"/>
                      <w:sz w:val="48"/>
                    </w:rPr>
                    <w:t xml:space="preserve"> PARTIE</w:t>
                  </w:r>
                </w:p>
                <w:p w:rsidR="009721AB" w:rsidRDefault="009721AB" w:rsidP="00286A2E">
                  <w:pPr>
                    <w:jc w:val="center"/>
                  </w:pPr>
                </w:p>
              </w:txbxContent>
            </v:textbox>
            <w10:wrap type="square" anchorx="margin" anchory="margin"/>
          </v:shape>
        </w:pict>
      </w:r>
    </w:p>
    <w:p w:rsidR="000C22E9" w:rsidRPr="0044670F" w:rsidRDefault="000C22E9" w:rsidP="00587784">
      <w:pPr>
        <w:spacing w:line="312" w:lineRule="auto"/>
        <w:rPr>
          <w:lang w:eastAsia="fr-FR"/>
        </w:rPr>
      </w:pPr>
    </w:p>
    <w:p w:rsidR="00CA77BF" w:rsidRPr="0044670F" w:rsidRDefault="00CA77BF" w:rsidP="00587784">
      <w:pPr>
        <w:spacing w:line="312" w:lineRule="auto"/>
      </w:pPr>
      <w:r w:rsidRPr="0044670F">
        <w:br w:type="page"/>
      </w:r>
    </w:p>
    <w:p w:rsidR="00320CA7" w:rsidRDefault="00320CA7" w:rsidP="00564513">
      <w:pPr>
        <w:pStyle w:val="Titre1"/>
        <w:numPr>
          <w:ilvl w:val="0"/>
          <w:numId w:val="37"/>
        </w:numPr>
      </w:pPr>
      <w:bookmarkStart w:id="30" w:name="_Toc413941229"/>
      <w:r w:rsidRPr="0044670F">
        <w:t>Résultats et analyse des comptes</w:t>
      </w:r>
      <w:r>
        <w:t xml:space="preserve"> de la santé (CS</w:t>
      </w:r>
      <w:r w:rsidRPr="0044670F">
        <w:t xml:space="preserve">) </w:t>
      </w:r>
      <w:bookmarkEnd w:id="30"/>
      <w:r w:rsidR="00AA56F6" w:rsidRPr="0044670F">
        <w:t>201</w:t>
      </w:r>
      <w:r w:rsidR="00AA56F6">
        <w:t>4</w:t>
      </w:r>
    </w:p>
    <w:p w:rsidR="00734095" w:rsidRPr="0044670F" w:rsidRDefault="00734095" w:rsidP="007B0ECB">
      <w:pPr>
        <w:pStyle w:val="Titre2"/>
        <w:numPr>
          <w:ilvl w:val="1"/>
          <w:numId w:val="37"/>
        </w:numPr>
        <w:rPr>
          <w:lang w:eastAsia="fr-FR"/>
        </w:rPr>
      </w:pPr>
      <w:bookmarkStart w:id="31" w:name="_Toc413941230"/>
      <w:r w:rsidRPr="0044670F">
        <w:t>Analyse des résultats des comptes de la santé</w:t>
      </w:r>
      <w:bookmarkEnd w:id="31"/>
    </w:p>
    <w:p w:rsidR="005F0627" w:rsidRPr="0044670F" w:rsidRDefault="005F0627" w:rsidP="00E858DF">
      <w:pPr>
        <w:spacing w:line="312" w:lineRule="auto"/>
        <w:rPr>
          <w:lang w:eastAsia="en-US"/>
        </w:rPr>
      </w:pPr>
      <w:r w:rsidRPr="0044670F">
        <w:rPr>
          <w:lang w:eastAsia="en-US"/>
        </w:rPr>
        <w:t xml:space="preserve">Les Comptes de la Santé (CS) selon le SHA 2011, permettent de déterminer deux agrégats de </w:t>
      </w:r>
      <w:r>
        <w:rPr>
          <w:lang w:eastAsia="en-US"/>
        </w:rPr>
        <w:t xml:space="preserve">la dépense de santé qui sont : </w:t>
      </w:r>
    </w:p>
    <w:p w:rsidR="005F0627" w:rsidRPr="0044670F" w:rsidRDefault="005F0627" w:rsidP="005F0627">
      <w:pPr>
        <w:pStyle w:val="Paragraphedeliste"/>
        <w:numPr>
          <w:ilvl w:val="0"/>
          <w:numId w:val="10"/>
        </w:numPr>
        <w:autoSpaceDE/>
        <w:autoSpaceDN/>
        <w:adjustRightInd/>
        <w:spacing w:after="0" w:line="312" w:lineRule="auto"/>
        <w:ind w:left="284"/>
        <w:jc w:val="left"/>
        <w:rPr>
          <w:lang w:eastAsia="en-US"/>
        </w:rPr>
      </w:pPr>
      <w:r w:rsidRPr="00DB74C9">
        <w:rPr>
          <w:b/>
          <w:lang w:eastAsia="en-US"/>
        </w:rPr>
        <w:t xml:space="preserve">La dépense courante de santé (DCS) : </w:t>
      </w:r>
      <w:r w:rsidRPr="0044670F">
        <w:rPr>
          <w:lang w:eastAsia="en-US"/>
        </w:rPr>
        <w:t xml:space="preserve">couvrant toutes les dépenses en santé qui relèvent de la délimitation fonctionnelle (hormis la formation de capital) ; </w:t>
      </w:r>
    </w:p>
    <w:p w:rsidR="005F0627" w:rsidRPr="0044670F" w:rsidRDefault="005F0627" w:rsidP="005F0627">
      <w:pPr>
        <w:pStyle w:val="Paragraphedeliste"/>
        <w:numPr>
          <w:ilvl w:val="0"/>
          <w:numId w:val="10"/>
        </w:numPr>
        <w:autoSpaceDE/>
        <w:autoSpaceDN/>
        <w:adjustRightInd/>
        <w:spacing w:after="0" w:line="312" w:lineRule="auto"/>
        <w:ind w:left="284"/>
        <w:jc w:val="left"/>
        <w:rPr>
          <w:lang w:eastAsia="en-US"/>
        </w:rPr>
      </w:pPr>
      <w:r w:rsidRPr="00DB74C9">
        <w:rPr>
          <w:b/>
          <w:lang w:eastAsia="en-US"/>
        </w:rPr>
        <w:t xml:space="preserve">La formation de capital ou les dépenses d’investissement (HK) </w:t>
      </w:r>
      <w:r w:rsidRPr="0044670F">
        <w:rPr>
          <w:lang w:eastAsia="en-US"/>
        </w:rPr>
        <w:t>: regroupant toutes les dépenses d’investissement.</w:t>
      </w:r>
    </w:p>
    <w:p w:rsidR="005F0627" w:rsidRDefault="005F0627" w:rsidP="00750033">
      <w:pPr>
        <w:spacing w:before="240" w:line="312" w:lineRule="auto"/>
        <w:rPr>
          <w:lang w:eastAsia="en-US"/>
        </w:rPr>
      </w:pPr>
      <w:r w:rsidRPr="0044670F">
        <w:rPr>
          <w:lang w:eastAsia="en-US"/>
        </w:rPr>
        <w:t>La somme de ces deux grands agrégats de dépense</w:t>
      </w:r>
      <w:r w:rsidR="003830CA">
        <w:rPr>
          <w:lang w:eastAsia="en-US"/>
        </w:rPr>
        <w:t>s</w:t>
      </w:r>
      <w:r>
        <w:rPr>
          <w:lang w:eastAsia="en-US"/>
        </w:rPr>
        <w:t xml:space="preserve"> de santé constitue la Dépense Totale de S</w:t>
      </w:r>
      <w:r w:rsidRPr="0044670F">
        <w:rPr>
          <w:lang w:eastAsia="en-US"/>
        </w:rPr>
        <w:t xml:space="preserve">anté (DTS) comme indiqué dans le tableau </w:t>
      </w:r>
      <w:r>
        <w:rPr>
          <w:lang w:eastAsia="en-US"/>
        </w:rPr>
        <w:t>3.1.</w:t>
      </w:r>
      <w:r w:rsidRPr="0044670F">
        <w:rPr>
          <w:lang w:eastAsia="en-US"/>
        </w:rPr>
        <w:t>1</w:t>
      </w:r>
      <w:r>
        <w:rPr>
          <w:lang w:eastAsia="en-US"/>
        </w:rPr>
        <w:t xml:space="preserve">. </w:t>
      </w:r>
    </w:p>
    <w:p w:rsidR="005F0627" w:rsidRDefault="005F0627" w:rsidP="005F0627">
      <w:pPr>
        <w:pStyle w:val="Lgende"/>
        <w:rPr>
          <w:color w:val="000000" w:themeColor="text1"/>
          <w:sz w:val="22"/>
          <w:szCs w:val="22"/>
          <w:lang w:eastAsia="en-US"/>
        </w:rPr>
      </w:pPr>
      <w:bookmarkStart w:id="32" w:name="_Toc483991263"/>
      <w:r w:rsidRPr="006E21D4">
        <w:rPr>
          <w:color w:val="000000" w:themeColor="text1"/>
          <w:sz w:val="22"/>
          <w:szCs w:val="22"/>
        </w:rPr>
        <w:t xml:space="preserve">Tableau </w:t>
      </w:r>
      <w:r w:rsidR="00E72F8E">
        <w:rPr>
          <w:color w:val="000000" w:themeColor="text1"/>
          <w:sz w:val="22"/>
          <w:szCs w:val="22"/>
        </w:rPr>
        <w:fldChar w:fldCharType="begin"/>
      </w:r>
      <w:r>
        <w:rPr>
          <w:color w:val="000000" w:themeColor="text1"/>
          <w:sz w:val="22"/>
          <w:szCs w:val="22"/>
        </w:rPr>
        <w:instrText xml:space="preserve"> STYLEREF 2 \s </w:instrText>
      </w:r>
      <w:r w:rsidR="00E72F8E">
        <w:rPr>
          <w:color w:val="000000" w:themeColor="text1"/>
          <w:sz w:val="22"/>
          <w:szCs w:val="22"/>
        </w:rPr>
        <w:fldChar w:fldCharType="separate"/>
      </w:r>
      <w:r>
        <w:rPr>
          <w:noProof/>
          <w:color w:val="000000" w:themeColor="text1"/>
          <w:sz w:val="22"/>
          <w:szCs w:val="22"/>
        </w:rPr>
        <w:t>3.1</w:t>
      </w:r>
      <w:r w:rsidR="00E72F8E">
        <w:rPr>
          <w:color w:val="000000" w:themeColor="text1"/>
          <w:sz w:val="22"/>
          <w:szCs w:val="22"/>
        </w:rPr>
        <w:fldChar w:fldCharType="end"/>
      </w:r>
      <w:r>
        <w:rPr>
          <w:color w:val="000000" w:themeColor="text1"/>
          <w:sz w:val="22"/>
          <w:szCs w:val="22"/>
        </w:rPr>
        <w:t>.</w:t>
      </w:r>
      <w:r w:rsidR="00E72F8E">
        <w:rPr>
          <w:color w:val="000000" w:themeColor="text1"/>
          <w:sz w:val="22"/>
          <w:szCs w:val="22"/>
        </w:rPr>
        <w:fldChar w:fldCharType="begin"/>
      </w:r>
      <w:r>
        <w:rPr>
          <w:color w:val="000000" w:themeColor="text1"/>
          <w:sz w:val="22"/>
          <w:szCs w:val="22"/>
        </w:rPr>
        <w:instrText xml:space="preserve"> SEQ Tableau \* ARABIC \s 2 </w:instrText>
      </w:r>
      <w:r w:rsidR="00E72F8E">
        <w:rPr>
          <w:color w:val="000000" w:themeColor="text1"/>
          <w:sz w:val="22"/>
          <w:szCs w:val="22"/>
        </w:rPr>
        <w:fldChar w:fldCharType="separate"/>
      </w:r>
      <w:r>
        <w:rPr>
          <w:noProof/>
          <w:color w:val="000000" w:themeColor="text1"/>
          <w:sz w:val="22"/>
          <w:szCs w:val="22"/>
        </w:rPr>
        <w:t>1</w:t>
      </w:r>
      <w:r w:rsidR="00E72F8E">
        <w:rPr>
          <w:color w:val="000000" w:themeColor="text1"/>
          <w:sz w:val="22"/>
          <w:szCs w:val="22"/>
        </w:rPr>
        <w:fldChar w:fldCharType="end"/>
      </w:r>
      <w:r w:rsidRPr="006E21D4">
        <w:rPr>
          <w:color w:val="000000" w:themeColor="text1"/>
          <w:sz w:val="22"/>
          <w:szCs w:val="22"/>
          <w:lang w:eastAsia="en-US"/>
        </w:rPr>
        <w:t>: Récapitulatif de la dépense totale de santé en 201</w:t>
      </w:r>
      <w:r>
        <w:rPr>
          <w:color w:val="000000" w:themeColor="text1"/>
          <w:sz w:val="22"/>
          <w:szCs w:val="22"/>
          <w:lang w:eastAsia="en-US"/>
        </w:rPr>
        <w:t>4</w:t>
      </w:r>
      <w:bookmarkEnd w:id="32"/>
    </w:p>
    <w:tbl>
      <w:tblPr>
        <w:tblW w:w="5000" w:type="pct"/>
        <w:tblCellMar>
          <w:left w:w="70" w:type="dxa"/>
          <w:right w:w="70" w:type="dxa"/>
        </w:tblCellMar>
        <w:tblLook w:val="04A0"/>
      </w:tblPr>
      <w:tblGrid>
        <w:gridCol w:w="6365"/>
        <w:gridCol w:w="2352"/>
        <w:gridCol w:w="829"/>
      </w:tblGrid>
      <w:tr w:rsidR="005F0627" w:rsidRPr="006E21D4" w:rsidTr="00E858DF">
        <w:trPr>
          <w:trHeight w:val="216"/>
        </w:trPr>
        <w:tc>
          <w:tcPr>
            <w:tcW w:w="3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27" w:rsidRPr="006E21D4" w:rsidRDefault="005F0627" w:rsidP="00E858DF">
            <w:pPr>
              <w:spacing w:line="312" w:lineRule="auto"/>
              <w:rPr>
                <w:b/>
                <w:sz w:val="20"/>
                <w:szCs w:val="20"/>
              </w:rPr>
            </w:pPr>
            <w:r>
              <w:rPr>
                <w:b/>
                <w:sz w:val="20"/>
                <w:szCs w:val="20"/>
              </w:rPr>
              <w:t>Indicateur</w:t>
            </w:r>
          </w:p>
        </w:tc>
        <w:tc>
          <w:tcPr>
            <w:tcW w:w="1232" w:type="pct"/>
            <w:tcBorders>
              <w:top w:val="single" w:sz="4" w:space="0" w:color="auto"/>
              <w:left w:val="nil"/>
              <w:bottom w:val="single" w:sz="4" w:space="0" w:color="auto"/>
              <w:right w:val="single" w:sz="4" w:space="0" w:color="auto"/>
            </w:tcBorders>
            <w:shd w:val="clear" w:color="auto" w:fill="auto"/>
            <w:noWrap/>
            <w:vAlign w:val="bottom"/>
            <w:hideMark/>
          </w:tcPr>
          <w:p w:rsidR="005F0627" w:rsidRPr="006E21D4" w:rsidRDefault="005F0627" w:rsidP="00E858DF">
            <w:pPr>
              <w:spacing w:line="312" w:lineRule="auto"/>
              <w:jc w:val="center"/>
              <w:rPr>
                <w:b/>
                <w:sz w:val="20"/>
                <w:szCs w:val="20"/>
              </w:rPr>
            </w:pPr>
            <w:r w:rsidRPr="006E21D4">
              <w:rPr>
                <w:b/>
                <w:sz w:val="20"/>
                <w:szCs w:val="20"/>
              </w:rPr>
              <w:t>Montant</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rsidR="005F0627" w:rsidRPr="006E21D4" w:rsidRDefault="005F0627" w:rsidP="00E858DF">
            <w:pPr>
              <w:spacing w:line="312" w:lineRule="auto"/>
              <w:jc w:val="center"/>
              <w:rPr>
                <w:b/>
                <w:sz w:val="20"/>
                <w:szCs w:val="20"/>
              </w:rPr>
            </w:pPr>
            <w:r w:rsidRPr="006E21D4">
              <w:rPr>
                <w:b/>
                <w:sz w:val="20"/>
                <w:szCs w:val="20"/>
              </w:rPr>
              <w:t>%</w:t>
            </w:r>
          </w:p>
        </w:tc>
      </w:tr>
      <w:tr w:rsidR="005F0627" w:rsidRPr="00320CA7" w:rsidTr="00E858DF">
        <w:trPr>
          <w:trHeight w:val="163"/>
        </w:trPr>
        <w:tc>
          <w:tcPr>
            <w:tcW w:w="3334" w:type="pct"/>
            <w:tcBorders>
              <w:top w:val="nil"/>
              <w:left w:val="single" w:sz="4" w:space="0" w:color="auto"/>
              <w:bottom w:val="single" w:sz="4" w:space="0" w:color="auto"/>
              <w:right w:val="single" w:sz="4" w:space="0" w:color="auto"/>
            </w:tcBorders>
            <w:shd w:val="clear" w:color="auto" w:fill="auto"/>
            <w:noWrap/>
            <w:vAlign w:val="bottom"/>
            <w:hideMark/>
          </w:tcPr>
          <w:p w:rsidR="005F0627" w:rsidRPr="00320CA7" w:rsidRDefault="005F0627" w:rsidP="00E858DF">
            <w:pPr>
              <w:spacing w:line="312" w:lineRule="auto"/>
              <w:rPr>
                <w:sz w:val="20"/>
                <w:szCs w:val="20"/>
              </w:rPr>
            </w:pPr>
            <w:r w:rsidRPr="00320CA7">
              <w:rPr>
                <w:sz w:val="20"/>
                <w:szCs w:val="20"/>
              </w:rPr>
              <w:t>La dépense courante de santé</w:t>
            </w:r>
          </w:p>
        </w:tc>
        <w:tc>
          <w:tcPr>
            <w:tcW w:w="1232" w:type="pct"/>
            <w:tcBorders>
              <w:top w:val="nil"/>
              <w:left w:val="nil"/>
              <w:bottom w:val="single" w:sz="4" w:space="0" w:color="auto"/>
              <w:right w:val="single" w:sz="4" w:space="0" w:color="auto"/>
            </w:tcBorders>
            <w:shd w:val="clear" w:color="auto" w:fill="auto"/>
            <w:noWrap/>
            <w:vAlign w:val="center"/>
            <w:hideMark/>
          </w:tcPr>
          <w:p w:rsidR="005F0627" w:rsidRPr="002D1454" w:rsidRDefault="00E1663B" w:rsidP="00E1663B">
            <w:pPr>
              <w:spacing w:before="40" w:after="40"/>
              <w:ind w:left="40" w:right="40"/>
              <w:jc w:val="right"/>
              <w:rPr>
                <w:sz w:val="20"/>
                <w:szCs w:val="20"/>
              </w:rPr>
            </w:pPr>
            <w:r w:rsidRPr="002D1454">
              <w:rPr>
                <w:sz w:val="20"/>
                <w:szCs w:val="20"/>
              </w:rPr>
              <w:t xml:space="preserve"> 401310376950</w:t>
            </w:r>
          </w:p>
        </w:tc>
        <w:tc>
          <w:tcPr>
            <w:tcW w:w="434" w:type="pct"/>
            <w:tcBorders>
              <w:top w:val="nil"/>
              <w:left w:val="nil"/>
              <w:bottom w:val="single" w:sz="4" w:space="0" w:color="auto"/>
              <w:right w:val="single" w:sz="4" w:space="0" w:color="auto"/>
            </w:tcBorders>
            <w:shd w:val="clear" w:color="auto" w:fill="auto"/>
            <w:noWrap/>
            <w:vAlign w:val="bottom"/>
            <w:hideMark/>
          </w:tcPr>
          <w:p w:rsidR="005F0627" w:rsidRPr="002D1454" w:rsidRDefault="00B75A4C" w:rsidP="00E858DF">
            <w:pPr>
              <w:spacing w:line="312" w:lineRule="auto"/>
              <w:jc w:val="right"/>
              <w:rPr>
                <w:sz w:val="20"/>
                <w:szCs w:val="20"/>
              </w:rPr>
            </w:pPr>
            <w:r w:rsidRPr="002D1454">
              <w:rPr>
                <w:sz w:val="20"/>
                <w:szCs w:val="20"/>
              </w:rPr>
              <w:t xml:space="preserve"> 93,84</w:t>
            </w:r>
          </w:p>
        </w:tc>
      </w:tr>
      <w:tr w:rsidR="005F0627" w:rsidRPr="00320CA7" w:rsidTr="00E858DF">
        <w:trPr>
          <w:trHeight w:val="163"/>
        </w:trPr>
        <w:tc>
          <w:tcPr>
            <w:tcW w:w="3334" w:type="pct"/>
            <w:tcBorders>
              <w:top w:val="nil"/>
              <w:left w:val="single" w:sz="4" w:space="0" w:color="auto"/>
              <w:bottom w:val="single" w:sz="4" w:space="0" w:color="auto"/>
              <w:right w:val="single" w:sz="4" w:space="0" w:color="auto"/>
            </w:tcBorders>
            <w:shd w:val="clear" w:color="auto" w:fill="auto"/>
            <w:noWrap/>
            <w:vAlign w:val="bottom"/>
            <w:hideMark/>
          </w:tcPr>
          <w:p w:rsidR="005F0627" w:rsidRPr="00320CA7" w:rsidRDefault="005F0627" w:rsidP="00E858DF">
            <w:pPr>
              <w:spacing w:line="312" w:lineRule="auto"/>
              <w:rPr>
                <w:sz w:val="20"/>
                <w:szCs w:val="20"/>
              </w:rPr>
            </w:pPr>
            <w:r w:rsidRPr="00320CA7">
              <w:rPr>
                <w:sz w:val="20"/>
                <w:szCs w:val="20"/>
              </w:rPr>
              <w:t>La formation de capital ou Dépenses d'investissement en santé</w:t>
            </w:r>
          </w:p>
        </w:tc>
        <w:tc>
          <w:tcPr>
            <w:tcW w:w="1232" w:type="pct"/>
            <w:tcBorders>
              <w:top w:val="nil"/>
              <w:left w:val="nil"/>
              <w:bottom w:val="single" w:sz="4" w:space="0" w:color="auto"/>
              <w:right w:val="single" w:sz="4" w:space="0" w:color="auto"/>
            </w:tcBorders>
            <w:shd w:val="clear" w:color="auto" w:fill="auto"/>
            <w:noWrap/>
            <w:vAlign w:val="center"/>
            <w:hideMark/>
          </w:tcPr>
          <w:p w:rsidR="005F0627" w:rsidRPr="002D1454" w:rsidRDefault="00B75A4C" w:rsidP="00E858DF">
            <w:pPr>
              <w:jc w:val="right"/>
              <w:rPr>
                <w:sz w:val="20"/>
                <w:szCs w:val="20"/>
              </w:rPr>
            </w:pPr>
            <w:r w:rsidRPr="002D1454">
              <w:rPr>
                <w:sz w:val="20"/>
                <w:szCs w:val="20"/>
              </w:rPr>
              <w:t xml:space="preserve"> 26366130770</w:t>
            </w:r>
          </w:p>
        </w:tc>
        <w:tc>
          <w:tcPr>
            <w:tcW w:w="434" w:type="pct"/>
            <w:tcBorders>
              <w:top w:val="nil"/>
              <w:left w:val="nil"/>
              <w:bottom w:val="single" w:sz="4" w:space="0" w:color="auto"/>
              <w:right w:val="single" w:sz="4" w:space="0" w:color="auto"/>
            </w:tcBorders>
            <w:shd w:val="clear" w:color="auto" w:fill="auto"/>
            <w:noWrap/>
            <w:vAlign w:val="bottom"/>
            <w:hideMark/>
          </w:tcPr>
          <w:p w:rsidR="004765F3" w:rsidRPr="002D1454" w:rsidRDefault="00B75A4C" w:rsidP="00C63457">
            <w:pPr>
              <w:spacing w:line="312" w:lineRule="auto"/>
              <w:jc w:val="center"/>
              <w:rPr>
                <w:b/>
                <w:noProof/>
                <w:sz w:val="20"/>
                <w:szCs w:val="20"/>
              </w:rPr>
            </w:pPr>
            <w:r w:rsidRPr="002D1454">
              <w:rPr>
                <w:sz w:val="20"/>
                <w:szCs w:val="20"/>
              </w:rPr>
              <w:t xml:space="preserve">6, 16 </w:t>
            </w:r>
          </w:p>
        </w:tc>
      </w:tr>
      <w:tr w:rsidR="005F0627" w:rsidRPr="006E21D4" w:rsidTr="00E858DF">
        <w:trPr>
          <w:trHeight w:val="163"/>
        </w:trPr>
        <w:tc>
          <w:tcPr>
            <w:tcW w:w="3334" w:type="pct"/>
            <w:tcBorders>
              <w:top w:val="nil"/>
              <w:left w:val="single" w:sz="4" w:space="0" w:color="auto"/>
              <w:bottom w:val="single" w:sz="4" w:space="0" w:color="auto"/>
              <w:right w:val="single" w:sz="4" w:space="0" w:color="auto"/>
            </w:tcBorders>
            <w:shd w:val="clear" w:color="auto" w:fill="auto"/>
            <w:noWrap/>
            <w:vAlign w:val="bottom"/>
            <w:hideMark/>
          </w:tcPr>
          <w:p w:rsidR="005F0627" w:rsidRPr="006E21D4" w:rsidRDefault="005F0627" w:rsidP="00E858DF">
            <w:pPr>
              <w:spacing w:line="312" w:lineRule="auto"/>
              <w:rPr>
                <w:b/>
                <w:sz w:val="20"/>
                <w:szCs w:val="20"/>
              </w:rPr>
            </w:pPr>
            <w:r w:rsidRPr="006E21D4">
              <w:rPr>
                <w:b/>
                <w:sz w:val="20"/>
                <w:szCs w:val="20"/>
              </w:rPr>
              <w:t>La dépense totale de santé</w:t>
            </w:r>
          </w:p>
        </w:tc>
        <w:tc>
          <w:tcPr>
            <w:tcW w:w="1232" w:type="pct"/>
            <w:tcBorders>
              <w:top w:val="nil"/>
              <w:left w:val="nil"/>
              <w:bottom w:val="single" w:sz="4" w:space="0" w:color="auto"/>
              <w:right w:val="single" w:sz="4" w:space="0" w:color="auto"/>
            </w:tcBorders>
            <w:shd w:val="clear" w:color="auto" w:fill="auto"/>
            <w:noWrap/>
            <w:vAlign w:val="bottom"/>
            <w:hideMark/>
          </w:tcPr>
          <w:p w:rsidR="005F0627" w:rsidRPr="002D1454" w:rsidRDefault="00B75A4C" w:rsidP="00E858DF">
            <w:pPr>
              <w:spacing w:line="312" w:lineRule="auto"/>
              <w:jc w:val="right"/>
              <w:rPr>
                <w:b/>
                <w:sz w:val="20"/>
                <w:szCs w:val="20"/>
              </w:rPr>
            </w:pPr>
            <w:r w:rsidRPr="002D1454">
              <w:rPr>
                <w:b/>
                <w:sz w:val="20"/>
                <w:szCs w:val="20"/>
              </w:rPr>
              <w:t>427676507720</w:t>
            </w:r>
          </w:p>
        </w:tc>
        <w:tc>
          <w:tcPr>
            <w:tcW w:w="434" w:type="pct"/>
            <w:tcBorders>
              <w:top w:val="nil"/>
              <w:left w:val="nil"/>
              <w:bottom w:val="single" w:sz="4" w:space="0" w:color="auto"/>
              <w:right w:val="single" w:sz="4" w:space="0" w:color="auto"/>
            </w:tcBorders>
            <w:shd w:val="clear" w:color="auto" w:fill="auto"/>
            <w:noWrap/>
            <w:vAlign w:val="bottom"/>
            <w:hideMark/>
          </w:tcPr>
          <w:p w:rsidR="005F0627" w:rsidRPr="002D1454" w:rsidRDefault="005F0627" w:rsidP="00E858DF">
            <w:pPr>
              <w:spacing w:line="312" w:lineRule="auto"/>
              <w:jc w:val="right"/>
              <w:rPr>
                <w:b/>
                <w:sz w:val="20"/>
                <w:szCs w:val="20"/>
              </w:rPr>
            </w:pPr>
            <w:r w:rsidRPr="002D1454">
              <w:rPr>
                <w:b/>
                <w:sz w:val="20"/>
                <w:szCs w:val="20"/>
              </w:rPr>
              <w:t>100,00</w:t>
            </w:r>
          </w:p>
        </w:tc>
      </w:tr>
    </w:tbl>
    <w:p w:rsidR="002D149D" w:rsidRPr="0044670F" w:rsidRDefault="002D149D" w:rsidP="002D149D">
      <w:pPr>
        <w:spacing w:before="240"/>
        <w:rPr>
          <w:lang w:eastAsia="en-US"/>
        </w:rPr>
      </w:pPr>
      <w:r w:rsidRPr="0044670F">
        <w:rPr>
          <w:lang w:eastAsia="en-US"/>
        </w:rPr>
        <w:t xml:space="preserve">La dépense totale de santé est la somme des dépenses engagées par l’ensemble des financeurs du système de santé (État, collectivités locales, </w:t>
      </w:r>
      <w:r w:rsidR="003830CA">
        <w:rPr>
          <w:lang w:eastAsia="en-US"/>
        </w:rPr>
        <w:t>m</w:t>
      </w:r>
      <w:r w:rsidRPr="0044670F">
        <w:rPr>
          <w:lang w:eastAsia="en-US"/>
        </w:rPr>
        <w:t xml:space="preserve">énages, </w:t>
      </w:r>
      <w:r w:rsidR="003830CA">
        <w:rPr>
          <w:lang w:eastAsia="en-US"/>
        </w:rPr>
        <w:t>p</w:t>
      </w:r>
      <w:r w:rsidRPr="0044670F">
        <w:rPr>
          <w:lang w:eastAsia="en-US"/>
        </w:rPr>
        <w:t xml:space="preserve">artenaires techniques et financiers, </w:t>
      </w:r>
      <w:r w:rsidR="003830CA">
        <w:rPr>
          <w:lang w:eastAsia="en-US"/>
        </w:rPr>
        <w:t>s</w:t>
      </w:r>
      <w:r w:rsidRPr="0044670F">
        <w:rPr>
          <w:lang w:eastAsia="en-US"/>
        </w:rPr>
        <w:t>écurité sociale, organismes de protection complémentaire -</w:t>
      </w:r>
      <w:r w:rsidR="003830CA">
        <w:rPr>
          <w:lang w:eastAsia="en-US"/>
        </w:rPr>
        <w:t>m</w:t>
      </w:r>
      <w:r w:rsidRPr="0044670F">
        <w:rPr>
          <w:lang w:eastAsia="en-US"/>
        </w:rPr>
        <w:t>utuelles, sociétés d'assurances, institutions de prévoyance, O</w:t>
      </w:r>
      <w:r w:rsidR="003830CA">
        <w:rPr>
          <w:lang w:eastAsia="en-US"/>
        </w:rPr>
        <w:t xml:space="preserve">rganisations </w:t>
      </w:r>
      <w:r w:rsidRPr="0044670F">
        <w:rPr>
          <w:lang w:eastAsia="en-US"/>
        </w:rPr>
        <w:t>N</w:t>
      </w:r>
      <w:r w:rsidR="003830CA">
        <w:rPr>
          <w:lang w:eastAsia="en-US"/>
        </w:rPr>
        <w:t xml:space="preserve">on </w:t>
      </w:r>
      <w:r w:rsidRPr="0044670F">
        <w:rPr>
          <w:lang w:eastAsia="en-US"/>
        </w:rPr>
        <w:t>G</w:t>
      </w:r>
      <w:r w:rsidR="003830CA">
        <w:rPr>
          <w:lang w:eastAsia="en-US"/>
        </w:rPr>
        <w:t>ouvernementale</w:t>
      </w:r>
      <w:r w:rsidRPr="0044670F">
        <w:rPr>
          <w:lang w:eastAsia="en-US"/>
        </w:rPr>
        <w:t>s etc.). La dépense totale de santé englobe toutes les dépenses portant sur des activités dont l'objectif principal est de  restaurer, d'améliorer et d'entretenir la santé de la population et des individus pendant une période prédéterminée. Cette dépense a</w:t>
      </w:r>
      <w:r>
        <w:rPr>
          <w:lang w:eastAsia="en-US"/>
        </w:rPr>
        <w:t xml:space="preserve">u Mali est estimée en 2014 à </w:t>
      </w:r>
      <w:r w:rsidR="00042ACA">
        <w:rPr>
          <w:lang w:eastAsia="en-US"/>
        </w:rPr>
        <w:t>427,676</w:t>
      </w:r>
      <w:r w:rsidRPr="0044670F">
        <w:rPr>
          <w:lang w:eastAsia="en-US"/>
        </w:rPr>
        <w:t xml:space="preserve">milliards de FCFA contre </w:t>
      </w:r>
      <w:r>
        <w:rPr>
          <w:lang w:eastAsia="en-US"/>
        </w:rPr>
        <w:t>363</w:t>
      </w:r>
      <w:r w:rsidR="003830CA">
        <w:rPr>
          <w:lang w:eastAsia="en-US"/>
        </w:rPr>
        <w:t>,198</w:t>
      </w:r>
      <w:r w:rsidRPr="0044670F">
        <w:rPr>
          <w:lang w:eastAsia="en-US"/>
        </w:rPr>
        <w:t xml:space="preserve"> milliards en 20</w:t>
      </w:r>
      <w:r>
        <w:rPr>
          <w:lang w:eastAsia="en-US"/>
        </w:rPr>
        <w:t>13</w:t>
      </w:r>
      <w:r w:rsidRPr="0044670F">
        <w:rPr>
          <w:lang w:eastAsia="en-US"/>
        </w:rPr>
        <w:t xml:space="preserve">, soit une augmentation de </w:t>
      </w:r>
      <w:r w:rsidR="003830CA">
        <w:rPr>
          <w:lang w:eastAsia="en-US"/>
        </w:rPr>
        <w:t xml:space="preserve"> 8,15</w:t>
      </w:r>
      <w:r w:rsidR="00975822">
        <w:rPr>
          <w:lang w:eastAsia="en-US"/>
        </w:rPr>
        <w:t xml:space="preserve"> %</w:t>
      </w:r>
      <w:r>
        <w:rPr>
          <w:lang w:eastAsia="en-US"/>
        </w:rPr>
        <w:t>.</w:t>
      </w:r>
      <w:r w:rsidRPr="0044670F">
        <w:rPr>
          <w:lang w:eastAsia="en-US"/>
        </w:rPr>
        <w:t xml:space="preserve"> Cette évolution est illustrée par le gra</w:t>
      </w:r>
      <w:r>
        <w:rPr>
          <w:lang w:eastAsia="en-US"/>
        </w:rPr>
        <w:t>phique 3.1.1.</w:t>
      </w:r>
    </w:p>
    <w:p w:rsidR="002D149D" w:rsidRPr="0044670F" w:rsidRDefault="002D149D" w:rsidP="002D149D">
      <w:pPr>
        <w:spacing w:line="312" w:lineRule="auto"/>
        <w:rPr>
          <w:lang w:eastAsia="en-US"/>
        </w:rPr>
      </w:pPr>
    </w:p>
    <w:p w:rsidR="002D149D" w:rsidRPr="0044670F" w:rsidRDefault="002D149D" w:rsidP="002D149D">
      <w:pPr>
        <w:spacing w:line="312" w:lineRule="auto"/>
        <w:rPr>
          <w:lang w:eastAsia="en-US"/>
        </w:rPr>
      </w:pPr>
    </w:p>
    <w:p w:rsidR="0018677A" w:rsidRPr="0044670F" w:rsidRDefault="0018677A" w:rsidP="002D149D">
      <w:pPr>
        <w:spacing w:line="312" w:lineRule="auto"/>
        <w:rPr>
          <w:lang w:eastAsia="en-US"/>
        </w:rPr>
      </w:pPr>
    </w:p>
    <w:p w:rsidR="002D149D" w:rsidRPr="006E21D4" w:rsidRDefault="002D149D" w:rsidP="002D149D">
      <w:pPr>
        <w:pStyle w:val="Lgende"/>
        <w:rPr>
          <w:color w:val="000000" w:themeColor="text1"/>
          <w:sz w:val="22"/>
          <w:szCs w:val="22"/>
        </w:rPr>
      </w:pPr>
      <w:r w:rsidRPr="00C3017C">
        <w:rPr>
          <w:color w:val="000000" w:themeColor="text1"/>
          <w:sz w:val="22"/>
          <w:szCs w:val="22"/>
        </w:rPr>
        <w:t xml:space="preserve">Graphique </w:t>
      </w:r>
      <w:r w:rsidR="00E72F8E">
        <w:rPr>
          <w:color w:val="000000" w:themeColor="text1"/>
          <w:sz w:val="22"/>
          <w:szCs w:val="22"/>
        </w:rPr>
        <w:fldChar w:fldCharType="begin"/>
      </w:r>
      <w:r>
        <w:rPr>
          <w:color w:val="000000" w:themeColor="text1"/>
          <w:sz w:val="22"/>
          <w:szCs w:val="22"/>
        </w:rPr>
        <w:instrText xml:space="preserve"> STYLEREF 2 \s </w:instrText>
      </w:r>
      <w:r w:rsidR="00E72F8E">
        <w:rPr>
          <w:color w:val="000000" w:themeColor="text1"/>
          <w:sz w:val="22"/>
          <w:szCs w:val="22"/>
        </w:rPr>
        <w:fldChar w:fldCharType="separate"/>
      </w:r>
      <w:r>
        <w:rPr>
          <w:noProof/>
          <w:color w:val="000000" w:themeColor="text1"/>
          <w:sz w:val="22"/>
          <w:szCs w:val="22"/>
        </w:rPr>
        <w:t>3.1</w:t>
      </w:r>
      <w:r w:rsidR="00E72F8E">
        <w:rPr>
          <w:color w:val="000000" w:themeColor="text1"/>
          <w:sz w:val="22"/>
          <w:szCs w:val="22"/>
        </w:rPr>
        <w:fldChar w:fldCharType="end"/>
      </w:r>
      <w:r>
        <w:rPr>
          <w:color w:val="000000" w:themeColor="text1"/>
          <w:sz w:val="22"/>
          <w:szCs w:val="22"/>
        </w:rPr>
        <w:t>.</w:t>
      </w:r>
      <w:r w:rsidR="00E72F8E">
        <w:rPr>
          <w:color w:val="000000" w:themeColor="text1"/>
          <w:sz w:val="22"/>
          <w:szCs w:val="22"/>
        </w:rPr>
        <w:fldChar w:fldCharType="begin"/>
      </w:r>
      <w:r>
        <w:rPr>
          <w:color w:val="000000" w:themeColor="text1"/>
          <w:sz w:val="22"/>
          <w:szCs w:val="22"/>
        </w:rPr>
        <w:instrText xml:space="preserve"> SEQ Graphique \* ARABIC \s 2 </w:instrText>
      </w:r>
      <w:r w:rsidR="00E72F8E">
        <w:rPr>
          <w:color w:val="000000" w:themeColor="text1"/>
          <w:sz w:val="22"/>
          <w:szCs w:val="22"/>
        </w:rPr>
        <w:fldChar w:fldCharType="separate"/>
      </w:r>
      <w:r>
        <w:rPr>
          <w:noProof/>
          <w:color w:val="000000" w:themeColor="text1"/>
          <w:sz w:val="22"/>
          <w:szCs w:val="22"/>
        </w:rPr>
        <w:t>1</w:t>
      </w:r>
      <w:r w:rsidR="00E72F8E">
        <w:rPr>
          <w:color w:val="000000" w:themeColor="text1"/>
          <w:sz w:val="22"/>
          <w:szCs w:val="22"/>
        </w:rPr>
        <w:fldChar w:fldCharType="end"/>
      </w:r>
      <w:r w:rsidRPr="006E21D4">
        <w:rPr>
          <w:color w:val="000000" w:themeColor="text1"/>
          <w:sz w:val="22"/>
          <w:szCs w:val="22"/>
        </w:rPr>
        <w:t> : Situation des DTS en 2004  en 2013</w:t>
      </w:r>
      <w:r>
        <w:rPr>
          <w:color w:val="000000" w:themeColor="text1"/>
          <w:sz w:val="22"/>
          <w:szCs w:val="22"/>
        </w:rPr>
        <w:t xml:space="preserve"> et en 2014 (en milliards de F CFA)</w:t>
      </w:r>
    </w:p>
    <w:p w:rsidR="002D149D" w:rsidRPr="00320CA7" w:rsidRDefault="004765F3" w:rsidP="002D149D">
      <w:pPr>
        <w:spacing w:line="312" w:lineRule="auto"/>
        <w:rPr>
          <w:rFonts w:cs="Arial"/>
          <w:lang w:eastAsia="en-US"/>
        </w:rPr>
      </w:pPr>
      <w:r w:rsidRPr="00C63457">
        <w:rPr>
          <w:noProof/>
          <w:highlight w:val="yellow"/>
          <w:lang w:eastAsia="fr-FR"/>
        </w:rPr>
        <w:drawing>
          <wp:inline distT="0" distB="0" distL="0" distR="0">
            <wp:extent cx="5637830" cy="2743200"/>
            <wp:effectExtent l="0" t="0" r="20320" b="1905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D149D" w:rsidRPr="00693699" w:rsidRDefault="002D149D" w:rsidP="002D149D">
      <w:pPr>
        <w:rPr>
          <w:b/>
          <w:lang w:eastAsia="en-US"/>
        </w:rPr>
      </w:pPr>
      <w:r w:rsidRPr="00693699">
        <w:rPr>
          <w:b/>
          <w:lang w:eastAsia="en-US"/>
        </w:rPr>
        <w:t xml:space="preserve">Dépense </w:t>
      </w:r>
      <w:r w:rsidR="00A84D64">
        <w:rPr>
          <w:b/>
          <w:lang w:eastAsia="en-US"/>
        </w:rPr>
        <w:t>C</w:t>
      </w:r>
      <w:r w:rsidRPr="00693699">
        <w:rPr>
          <w:b/>
          <w:lang w:eastAsia="en-US"/>
        </w:rPr>
        <w:t>ourante</w:t>
      </w:r>
      <w:r w:rsidR="00A84D64">
        <w:rPr>
          <w:b/>
          <w:lang w:eastAsia="en-US"/>
        </w:rPr>
        <w:t xml:space="preserve"> de Santé</w:t>
      </w:r>
      <w:r w:rsidRPr="00693699">
        <w:rPr>
          <w:b/>
          <w:lang w:eastAsia="en-US"/>
        </w:rPr>
        <w:t xml:space="preserve"> (DCS)</w:t>
      </w:r>
    </w:p>
    <w:p w:rsidR="002D149D" w:rsidRPr="0044670F" w:rsidRDefault="002D149D" w:rsidP="002D149D">
      <w:pPr>
        <w:rPr>
          <w:lang w:eastAsia="en-US"/>
        </w:rPr>
      </w:pPr>
      <w:r w:rsidRPr="0044670F">
        <w:rPr>
          <w:lang w:eastAsia="en-US"/>
        </w:rPr>
        <w:t>La dépense courante de santé du Mali est estimée en 20</w:t>
      </w:r>
      <w:r>
        <w:rPr>
          <w:lang w:eastAsia="en-US"/>
        </w:rPr>
        <w:t>14 à 401,</w:t>
      </w:r>
      <w:r w:rsidR="00641628">
        <w:rPr>
          <w:lang w:eastAsia="en-US"/>
        </w:rPr>
        <w:t>310</w:t>
      </w:r>
      <w:r w:rsidRPr="0044670F">
        <w:rPr>
          <w:lang w:eastAsia="en-US"/>
        </w:rPr>
        <w:t>mi</w:t>
      </w:r>
      <w:r>
        <w:rPr>
          <w:lang w:eastAsia="en-US"/>
        </w:rPr>
        <w:t xml:space="preserve">lliards de francs CFA, soit </w:t>
      </w:r>
      <w:r w:rsidR="00641628">
        <w:rPr>
          <w:lang w:eastAsia="en-US"/>
        </w:rPr>
        <w:t xml:space="preserve"> 93,84</w:t>
      </w:r>
      <w:r w:rsidRPr="0044670F">
        <w:rPr>
          <w:lang w:eastAsia="en-US"/>
        </w:rPr>
        <w:t xml:space="preserve"> % des dépenses totales de santé comme indique le tablea</w:t>
      </w:r>
      <w:r>
        <w:rPr>
          <w:lang w:eastAsia="en-US"/>
        </w:rPr>
        <w:t>u 3.1.1 ci-dessus</w:t>
      </w:r>
      <w:r>
        <w:rPr>
          <w:rStyle w:val="Appelnotedebasdep"/>
          <w:lang w:eastAsia="en-US"/>
        </w:rPr>
        <w:footnoteReference w:id="2"/>
      </w:r>
      <w:r>
        <w:rPr>
          <w:lang w:eastAsia="en-US"/>
        </w:rPr>
        <w:t>.</w:t>
      </w:r>
    </w:p>
    <w:p w:rsidR="002D149D" w:rsidRPr="00693699" w:rsidRDefault="002D149D" w:rsidP="002D149D">
      <w:pPr>
        <w:rPr>
          <w:b/>
          <w:lang w:eastAsia="en-US"/>
        </w:rPr>
      </w:pPr>
      <w:r>
        <w:rPr>
          <w:b/>
          <w:lang w:eastAsia="en-US"/>
        </w:rPr>
        <w:t>Dépenses d’Investissement</w:t>
      </w:r>
      <w:r w:rsidRPr="00693699">
        <w:rPr>
          <w:b/>
          <w:lang w:eastAsia="en-US"/>
        </w:rPr>
        <w:t> </w:t>
      </w:r>
    </w:p>
    <w:p w:rsidR="00A84D64" w:rsidRPr="0044670F" w:rsidRDefault="002D149D" w:rsidP="002D149D">
      <w:pPr>
        <w:rPr>
          <w:lang w:eastAsia="en-US"/>
        </w:rPr>
      </w:pPr>
      <w:r>
        <w:rPr>
          <w:lang w:eastAsia="en-US"/>
        </w:rPr>
        <w:t>Les dépenses en investissement</w:t>
      </w:r>
      <w:r w:rsidRPr="0044670F">
        <w:rPr>
          <w:lang w:eastAsia="en-US"/>
        </w:rPr>
        <w:t xml:space="preserve"> du s</w:t>
      </w:r>
      <w:r>
        <w:rPr>
          <w:lang w:eastAsia="en-US"/>
        </w:rPr>
        <w:t xml:space="preserve">ystème de santé s’élève à </w:t>
      </w:r>
      <w:r w:rsidR="000B06B4">
        <w:rPr>
          <w:lang w:eastAsia="en-US"/>
        </w:rPr>
        <w:t xml:space="preserve"> 26,366</w:t>
      </w:r>
      <w:r w:rsidRPr="0044670F">
        <w:rPr>
          <w:lang w:eastAsia="en-US"/>
        </w:rPr>
        <w:t xml:space="preserve"> milliards</w:t>
      </w:r>
      <w:r>
        <w:rPr>
          <w:lang w:eastAsia="en-US"/>
        </w:rPr>
        <w:t xml:space="preserve"> de F CFA, soit </w:t>
      </w:r>
      <w:r w:rsidR="000B06B4">
        <w:rPr>
          <w:lang w:eastAsia="en-US"/>
        </w:rPr>
        <w:t xml:space="preserve"> 6,16</w:t>
      </w:r>
      <w:r w:rsidRPr="0044670F">
        <w:rPr>
          <w:lang w:eastAsia="en-US"/>
        </w:rPr>
        <w:t xml:space="preserve"> % des dépenses totales de santé comme indique le tableau</w:t>
      </w:r>
      <w:r>
        <w:rPr>
          <w:lang w:eastAsia="en-US"/>
        </w:rPr>
        <w:t xml:space="preserve"> 3.1.1. </w:t>
      </w:r>
    </w:p>
    <w:p w:rsidR="002D149D" w:rsidRPr="0044670F" w:rsidRDefault="002D149D" w:rsidP="007B0ECB">
      <w:pPr>
        <w:pStyle w:val="Titre3"/>
        <w:numPr>
          <w:ilvl w:val="2"/>
          <w:numId w:val="37"/>
        </w:numPr>
        <w:autoSpaceDE/>
        <w:autoSpaceDN/>
        <w:adjustRightInd/>
        <w:spacing w:after="0" w:line="240" w:lineRule="auto"/>
        <w:jc w:val="left"/>
        <w:rPr>
          <w:lang w:eastAsia="en-US"/>
        </w:rPr>
      </w:pPr>
      <w:r w:rsidRPr="0044670F">
        <w:rPr>
          <w:lang w:eastAsia="en-US"/>
        </w:rPr>
        <w:t>Analyse de la dim</w:t>
      </w:r>
      <w:r>
        <w:rPr>
          <w:lang w:eastAsia="en-US"/>
        </w:rPr>
        <w:t>ension financement de la santé</w:t>
      </w:r>
    </w:p>
    <w:p w:rsidR="002D149D" w:rsidRPr="009216EF" w:rsidRDefault="002D149D" w:rsidP="007B0ECB">
      <w:pPr>
        <w:pStyle w:val="Titre4"/>
        <w:numPr>
          <w:ilvl w:val="3"/>
          <w:numId w:val="37"/>
        </w:numPr>
        <w:autoSpaceDE/>
        <w:autoSpaceDN/>
        <w:adjustRightInd/>
        <w:spacing w:after="0" w:line="240" w:lineRule="auto"/>
        <w:jc w:val="left"/>
      </w:pPr>
      <w:r w:rsidRPr="009216EF">
        <w:t>Les régimes de financement</w:t>
      </w:r>
    </w:p>
    <w:p w:rsidR="002D149D" w:rsidRPr="0044670F" w:rsidRDefault="002D149D" w:rsidP="002D149D">
      <w:pPr>
        <w:spacing w:line="312" w:lineRule="auto"/>
        <w:rPr>
          <w:lang w:eastAsia="en-US"/>
        </w:rPr>
      </w:pPr>
      <w:r w:rsidRPr="0044670F">
        <w:rPr>
          <w:lang w:eastAsia="en-US"/>
        </w:rPr>
        <w:t xml:space="preserve">Les dépenses des régimes de financement de la santé sont </w:t>
      </w:r>
      <w:r>
        <w:rPr>
          <w:lang w:eastAsia="en-US"/>
        </w:rPr>
        <w:t>récapitulées dans le tableau 3.1.2.</w:t>
      </w:r>
    </w:p>
    <w:p w:rsidR="000A0DE5" w:rsidRDefault="000A0DE5" w:rsidP="000A0DE5">
      <w:pPr>
        <w:pStyle w:val="Lgende"/>
        <w:rPr>
          <w:color w:val="000000" w:themeColor="text1"/>
          <w:sz w:val="22"/>
          <w:szCs w:val="22"/>
          <w:lang w:eastAsia="en-US"/>
        </w:rPr>
      </w:pPr>
      <w:bookmarkStart w:id="33" w:name="_Toc483991264"/>
      <w:r w:rsidRPr="00693699">
        <w:rPr>
          <w:color w:val="000000" w:themeColor="text1"/>
          <w:sz w:val="22"/>
          <w:szCs w:val="22"/>
        </w:rPr>
        <w:t xml:space="preserve">Tableau </w:t>
      </w:r>
      <w:r w:rsidR="00E72F8E">
        <w:rPr>
          <w:color w:val="000000" w:themeColor="text1"/>
          <w:sz w:val="22"/>
          <w:szCs w:val="22"/>
        </w:rPr>
        <w:fldChar w:fldCharType="begin"/>
      </w:r>
      <w:r>
        <w:rPr>
          <w:color w:val="000000" w:themeColor="text1"/>
          <w:sz w:val="22"/>
          <w:szCs w:val="22"/>
        </w:rPr>
        <w:instrText xml:space="preserve"> STYLEREF 2 \s </w:instrText>
      </w:r>
      <w:r w:rsidR="00E72F8E">
        <w:rPr>
          <w:color w:val="000000" w:themeColor="text1"/>
          <w:sz w:val="22"/>
          <w:szCs w:val="22"/>
        </w:rPr>
        <w:fldChar w:fldCharType="separate"/>
      </w:r>
      <w:r>
        <w:rPr>
          <w:noProof/>
          <w:color w:val="000000" w:themeColor="text1"/>
          <w:sz w:val="22"/>
          <w:szCs w:val="22"/>
        </w:rPr>
        <w:t>3.1</w:t>
      </w:r>
      <w:r w:rsidR="00E72F8E">
        <w:rPr>
          <w:color w:val="000000" w:themeColor="text1"/>
          <w:sz w:val="22"/>
          <w:szCs w:val="22"/>
        </w:rPr>
        <w:fldChar w:fldCharType="end"/>
      </w:r>
      <w:r>
        <w:rPr>
          <w:color w:val="000000" w:themeColor="text1"/>
          <w:sz w:val="22"/>
          <w:szCs w:val="22"/>
        </w:rPr>
        <w:t>.</w:t>
      </w:r>
      <w:r w:rsidR="00E72F8E">
        <w:rPr>
          <w:color w:val="000000" w:themeColor="text1"/>
          <w:sz w:val="22"/>
          <w:szCs w:val="22"/>
        </w:rPr>
        <w:fldChar w:fldCharType="begin"/>
      </w:r>
      <w:r>
        <w:rPr>
          <w:color w:val="000000" w:themeColor="text1"/>
          <w:sz w:val="22"/>
          <w:szCs w:val="22"/>
        </w:rPr>
        <w:instrText xml:space="preserve"> SEQ Tableau \* ARABIC \s 2 </w:instrText>
      </w:r>
      <w:r w:rsidR="00E72F8E">
        <w:rPr>
          <w:color w:val="000000" w:themeColor="text1"/>
          <w:sz w:val="22"/>
          <w:szCs w:val="22"/>
        </w:rPr>
        <w:fldChar w:fldCharType="separate"/>
      </w:r>
      <w:r>
        <w:rPr>
          <w:noProof/>
          <w:color w:val="000000" w:themeColor="text1"/>
          <w:sz w:val="22"/>
          <w:szCs w:val="22"/>
        </w:rPr>
        <w:t>2</w:t>
      </w:r>
      <w:r w:rsidR="00E72F8E">
        <w:rPr>
          <w:color w:val="000000" w:themeColor="text1"/>
          <w:sz w:val="22"/>
          <w:szCs w:val="22"/>
        </w:rPr>
        <w:fldChar w:fldCharType="end"/>
      </w:r>
      <w:r w:rsidRPr="00693699">
        <w:rPr>
          <w:color w:val="000000" w:themeColor="text1"/>
          <w:sz w:val="22"/>
          <w:szCs w:val="22"/>
          <w:lang w:eastAsia="en-US"/>
        </w:rPr>
        <w:t>: Récapitulatif des dépenses des régimes de financement en 201</w:t>
      </w:r>
      <w:r>
        <w:rPr>
          <w:color w:val="000000" w:themeColor="text1"/>
          <w:sz w:val="22"/>
          <w:szCs w:val="22"/>
          <w:lang w:eastAsia="en-US"/>
        </w:rPr>
        <w:t>4</w:t>
      </w:r>
      <w:bookmarkEnd w:id="33"/>
    </w:p>
    <w:p w:rsidR="002D1454" w:rsidRDefault="002D1454" w:rsidP="002D1454">
      <w:pPr>
        <w:rPr>
          <w:lang w:eastAsia="en-US"/>
        </w:rPr>
      </w:pPr>
    </w:p>
    <w:p w:rsidR="002D1454" w:rsidRPr="002D1454" w:rsidRDefault="002D1454" w:rsidP="002D1454">
      <w:pPr>
        <w:rPr>
          <w:lang w:eastAsia="en-US"/>
        </w:rPr>
      </w:pPr>
    </w:p>
    <w:tbl>
      <w:tblPr>
        <w:tblW w:w="5000" w:type="pct"/>
        <w:tblCellMar>
          <w:left w:w="70" w:type="dxa"/>
          <w:right w:w="70" w:type="dxa"/>
        </w:tblCellMar>
        <w:tblLook w:val="04A0"/>
      </w:tblPr>
      <w:tblGrid>
        <w:gridCol w:w="2410"/>
        <w:gridCol w:w="2881"/>
        <w:gridCol w:w="1800"/>
        <w:gridCol w:w="1329"/>
        <w:gridCol w:w="1126"/>
      </w:tblGrid>
      <w:tr w:rsidR="000A0DE5" w:rsidRPr="007A4FBA" w:rsidTr="00E858DF">
        <w:trPr>
          <w:trHeight w:val="315"/>
        </w:trPr>
        <w:tc>
          <w:tcPr>
            <w:tcW w:w="2771" w:type="pct"/>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0A0DE5" w:rsidRPr="007A4FBA" w:rsidRDefault="000A0DE5" w:rsidP="00E858DF">
            <w:pPr>
              <w:autoSpaceDE/>
              <w:autoSpaceDN/>
              <w:adjustRightInd/>
              <w:spacing w:after="0" w:line="240" w:lineRule="auto"/>
              <w:jc w:val="center"/>
              <w:rPr>
                <w:rFonts w:eastAsia="Times New Roman"/>
                <w:b/>
                <w:lang w:eastAsia="fr-FR"/>
              </w:rPr>
            </w:pPr>
            <w:r w:rsidRPr="007A4FBA">
              <w:rPr>
                <w:rFonts w:eastAsia="Times New Roman"/>
                <w:b/>
                <w:sz w:val="22"/>
                <w:szCs w:val="22"/>
                <w:lang w:eastAsia="fr-FR"/>
              </w:rPr>
              <w:t xml:space="preserve">Régimes de financement </w:t>
            </w:r>
          </w:p>
        </w:tc>
        <w:tc>
          <w:tcPr>
            <w:tcW w:w="1639" w:type="pct"/>
            <w:gridSpan w:val="2"/>
            <w:tcBorders>
              <w:top w:val="single" w:sz="8" w:space="0" w:color="auto"/>
              <w:left w:val="nil"/>
              <w:bottom w:val="single" w:sz="4" w:space="0" w:color="auto"/>
              <w:right w:val="single" w:sz="4" w:space="0" w:color="000000"/>
            </w:tcBorders>
            <w:shd w:val="clear" w:color="auto" w:fill="auto"/>
            <w:vAlign w:val="center"/>
            <w:hideMark/>
          </w:tcPr>
          <w:p w:rsidR="000A0DE5" w:rsidRPr="007A4FBA" w:rsidRDefault="000A0DE5" w:rsidP="00E858DF">
            <w:pPr>
              <w:autoSpaceDE/>
              <w:autoSpaceDN/>
              <w:adjustRightInd/>
              <w:spacing w:after="0" w:line="240" w:lineRule="auto"/>
              <w:jc w:val="center"/>
              <w:rPr>
                <w:rFonts w:eastAsia="Times New Roman"/>
                <w:b/>
                <w:lang w:eastAsia="fr-FR"/>
              </w:rPr>
            </w:pPr>
            <w:r w:rsidRPr="007A4FBA">
              <w:rPr>
                <w:rFonts w:eastAsia="Times New Roman"/>
                <w:b/>
                <w:sz w:val="22"/>
                <w:szCs w:val="22"/>
                <w:lang w:eastAsia="fr-FR"/>
              </w:rPr>
              <w:t>Montant des dépenses</w:t>
            </w:r>
          </w:p>
        </w:tc>
        <w:tc>
          <w:tcPr>
            <w:tcW w:w="590" w:type="pct"/>
            <w:tcBorders>
              <w:top w:val="single" w:sz="8" w:space="0" w:color="auto"/>
              <w:left w:val="nil"/>
              <w:bottom w:val="single" w:sz="4" w:space="0" w:color="auto"/>
              <w:right w:val="single" w:sz="8" w:space="0" w:color="auto"/>
            </w:tcBorders>
            <w:shd w:val="clear" w:color="auto" w:fill="auto"/>
            <w:vAlign w:val="center"/>
            <w:hideMark/>
          </w:tcPr>
          <w:p w:rsidR="000A0DE5" w:rsidRPr="007A4FBA" w:rsidRDefault="000A0DE5" w:rsidP="00E858DF">
            <w:pPr>
              <w:autoSpaceDE/>
              <w:autoSpaceDN/>
              <w:adjustRightInd/>
              <w:spacing w:after="0" w:line="240" w:lineRule="auto"/>
              <w:rPr>
                <w:rFonts w:eastAsia="Times New Roman"/>
                <w:b/>
                <w:lang w:eastAsia="fr-FR"/>
              </w:rPr>
            </w:pPr>
            <w:r w:rsidRPr="007A4FBA">
              <w:rPr>
                <w:rFonts w:eastAsia="Times New Roman"/>
                <w:b/>
                <w:sz w:val="22"/>
                <w:szCs w:val="22"/>
                <w:lang w:eastAsia="fr-FR"/>
              </w:rPr>
              <w:t>%</w:t>
            </w:r>
          </w:p>
        </w:tc>
      </w:tr>
      <w:tr w:rsidR="000A0DE5" w:rsidRPr="007A4FBA" w:rsidTr="00E858DF">
        <w:trPr>
          <w:trHeight w:val="675"/>
        </w:trPr>
        <w:tc>
          <w:tcPr>
            <w:tcW w:w="1262" w:type="pct"/>
            <w:vMerge w:val="restart"/>
            <w:tcBorders>
              <w:top w:val="nil"/>
              <w:left w:val="single" w:sz="8" w:space="0" w:color="auto"/>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
                <w:color w:val="auto"/>
                <w:lang w:eastAsia="fr-FR"/>
              </w:rPr>
            </w:pPr>
            <w:r w:rsidRPr="007A4FBA">
              <w:rPr>
                <w:rFonts w:eastAsia="Times New Roman"/>
                <w:b/>
                <w:color w:val="auto"/>
                <w:sz w:val="22"/>
                <w:szCs w:val="22"/>
                <w:lang w:eastAsia="fr-FR"/>
              </w:rPr>
              <w:t xml:space="preserve">Régimes de l'administration publique et régimes contributifs obligatoires de financement de la santé </w:t>
            </w:r>
          </w:p>
        </w:tc>
        <w:tc>
          <w:tcPr>
            <w:tcW w:w="1509" w:type="pct"/>
            <w:tcBorders>
              <w:top w:val="nil"/>
              <w:left w:val="nil"/>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r w:rsidRPr="007A4FBA">
              <w:rPr>
                <w:rFonts w:eastAsia="Times New Roman"/>
                <w:bCs w:val="0"/>
                <w:color w:val="auto"/>
                <w:sz w:val="20"/>
                <w:szCs w:val="20"/>
                <w:lang w:eastAsia="fr-FR"/>
              </w:rPr>
              <w:t xml:space="preserve">Régimes de l'administration publique </w:t>
            </w:r>
          </w:p>
        </w:tc>
        <w:tc>
          <w:tcPr>
            <w:tcW w:w="943" w:type="pct"/>
            <w:tcBorders>
              <w:top w:val="nil"/>
              <w:left w:val="nil"/>
              <w:bottom w:val="single" w:sz="4" w:space="0" w:color="auto"/>
              <w:right w:val="single" w:sz="4" w:space="0" w:color="auto"/>
            </w:tcBorders>
            <w:shd w:val="clear" w:color="auto" w:fill="auto"/>
            <w:noWrap/>
            <w:vAlign w:val="center"/>
            <w:hideMark/>
          </w:tcPr>
          <w:p w:rsidR="000A0DE5" w:rsidRPr="007A4FBA" w:rsidRDefault="00321311" w:rsidP="00E858DF">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 xml:space="preserve"> 90008,01</w:t>
            </w:r>
          </w:p>
        </w:tc>
        <w:tc>
          <w:tcPr>
            <w:tcW w:w="69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A0DE5" w:rsidRPr="007A4FBA" w:rsidRDefault="00321311" w:rsidP="00E858DF">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102</w:t>
            </w:r>
            <w:r w:rsidR="00961C17">
              <w:rPr>
                <w:rFonts w:eastAsia="Times New Roman"/>
                <w:bCs w:val="0"/>
                <w:color w:val="auto"/>
                <w:sz w:val="20"/>
                <w:szCs w:val="20"/>
                <w:lang w:eastAsia="fr-FR"/>
              </w:rPr>
              <w:t>32</w:t>
            </w:r>
            <w:r>
              <w:rPr>
                <w:rFonts w:eastAsia="Times New Roman"/>
                <w:bCs w:val="0"/>
                <w:color w:val="auto"/>
                <w:sz w:val="20"/>
                <w:szCs w:val="20"/>
                <w:lang w:eastAsia="fr-FR"/>
              </w:rPr>
              <w:t>9,</w:t>
            </w:r>
            <w:r w:rsidR="00431F7D">
              <w:rPr>
                <w:rFonts w:eastAsia="Times New Roman"/>
                <w:bCs w:val="0"/>
                <w:color w:val="auto"/>
                <w:sz w:val="20"/>
                <w:szCs w:val="20"/>
                <w:lang w:eastAsia="fr-FR"/>
              </w:rPr>
              <w:t>57</w:t>
            </w:r>
          </w:p>
        </w:tc>
        <w:tc>
          <w:tcPr>
            <w:tcW w:w="590"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0A0DE5" w:rsidRPr="007A4FBA" w:rsidRDefault="00BD690B" w:rsidP="00E858DF">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25,</w:t>
            </w:r>
            <w:r w:rsidR="00402F3C">
              <w:rPr>
                <w:rFonts w:eastAsia="Times New Roman"/>
                <w:bCs w:val="0"/>
                <w:sz w:val="20"/>
                <w:szCs w:val="20"/>
                <w:lang w:eastAsia="fr-FR"/>
              </w:rPr>
              <w:t>50</w:t>
            </w:r>
          </w:p>
        </w:tc>
      </w:tr>
      <w:tr w:rsidR="000A0DE5" w:rsidRPr="007A4FBA" w:rsidTr="00E858DF">
        <w:trPr>
          <w:trHeight w:val="750"/>
        </w:trPr>
        <w:tc>
          <w:tcPr>
            <w:tcW w:w="1262" w:type="pct"/>
            <w:vMerge/>
            <w:tcBorders>
              <w:top w:val="nil"/>
              <w:left w:val="single" w:sz="8" w:space="0" w:color="auto"/>
              <w:bottom w:val="single" w:sz="4" w:space="0" w:color="auto"/>
              <w:right w:val="single" w:sz="4" w:space="0" w:color="auto"/>
            </w:tcBorders>
            <w:vAlign w:val="center"/>
            <w:hideMark/>
          </w:tcPr>
          <w:p w:rsidR="000A0DE5" w:rsidRPr="007A4FBA" w:rsidRDefault="000A0DE5" w:rsidP="00E858DF">
            <w:pPr>
              <w:autoSpaceDE/>
              <w:autoSpaceDN/>
              <w:adjustRightInd/>
              <w:spacing w:after="0" w:line="240" w:lineRule="auto"/>
              <w:jc w:val="left"/>
              <w:rPr>
                <w:rFonts w:eastAsia="Times New Roman"/>
                <w:b/>
                <w:color w:val="auto"/>
                <w:lang w:eastAsia="fr-FR"/>
              </w:rPr>
            </w:pPr>
          </w:p>
        </w:tc>
        <w:tc>
          <w:tcPr>
            <w:tcW w:w="1509" w:type="pct"/>
            <w:tcBorders>
              <w:top w:val="nil"/>
              <w:left w:val="nil"/>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r w:rsidRPr="007A4FBA">
              <w:rPr>
                <w:rFonts w:eastAsia="Times New Roman"/>
                <w:bCs w:val="0"/>
                <w:color w:val="auto"/>
                <w:sz w:val="20"/>
                <w:szCs w:val="20"/>
                <w:lang w:eastAsia="fr-FR"/>
              </w:rPr>
              <w:t>Régimes contributifs obligatoires de financement de la santé</w:t>
            </w:r>
          </w:p>
        </w:tc>
        <w:tc>
          <w:tcPr>
            <w:tcW w:w="943" w:type="pct"/>
            <w:tcBorders>
              <w:top w:val="nil"/>
              <w:left w:val="nil"/>
              <w:bottom w:val="single" w:sz="4" w:space="0" w:color="auto"/>
              <w:right w:val="single" w:sz="4" w:space="0" w:color="auto"/>
            </w:tcBorders>
            <w:shd w:val="clear" w:color="auto" w:fill="auto"/>
            <w:noWrap/>
            <w:vAlign w:val="center"/>
            <w:hideMark/>
          </w:tcPr>
          <w:p w:rsidR="000A0DE5" w:rsidRPr="007A4FBA" w:rsidRDefault="00231D27" w:rsidP="00866FE6">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12321,56</w:t>
            </w:r>
          </w:p>
        </w:tc>
        <w:tc>
          <w:tcPr>
            <w:tcW w:w="696" w:type="pct"/>
            <w:vMerge/>
            <w:tcBorders>
              <w:top w:val="nil"/>
              <w:left w:val="single" w:sz="4" w:space="0" w:color="auto"/>
              <w:bottom w:val="single" w:sz="4" w:space="0" w:color="000000"/>
              <w:right w:val="single" w:sz="4" w:space="0" w:color="auto"/>
            </w:tcBorders>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p>
        </w:tc>
        <w:tc>
          <w:tcPr>
            <w:tcW w:w="590" w:type="pct"/>
            <w:vMerge/>
            <w:tcBorders>
              <w:top w:val="nil"/>
              <w:left w:val="single" w:sz="4" w:space="0" w:color="auto"/>
              <w:bottom w:val="single" w:sz="4" w:space="0" w:color="000000"/>
              <w:right w:val="single" w:sz="8" w:space="0" w:color="auto"/>
            </w:tcBorders>
            <w:vAlign w:val="center"/>
            <w:hideMark/>
          </w:tcPr>
          <w:p w:rsidR="000A0DE5" w:rsidRPr="007A4FBA" w:rsidRDefault="000A0DE5" w:rsidP="00E858DF">
            <w:pPr>
              <w:autoSpaceDE/>
              <w:autoSpaceDN/>
              <w:adjustRightInd/>
              <w:spacing w:after="0" w:line="240" w:lineRule="auto"/>
              <w:jc w:val="left"/>
              <w:rPr>
                <w:rFonts w:eastAsia="Times New Roman"/>
                <w:bCs w:val="0"/>
                <w:sz w:val="20"/>
                <w:szCs w:val="20"/>
                <w:lang w:eastAsia="fr-FR"/>
              </w:rPr>
            </w:pPr>
          </w:p>
        </w:tc>
      </w:tr>
      <w:tr w:rsidR="000A0DE5" w:rsidRPr="007A4FBA" w:rsidTr="00E858DF">
        <w:trPr>
          <w:trHeight w:val="675"/>
        </w:trPr>
        <w:tc>
          <w:tcPr>
            <w:tcW w:w="1262" w:type="pct"/>
            <w:vMerge w:val="restart"/>
            <w:tcBorders>
              <w:top w:val="nil"/>
              <w:left w:val="single" w:sz="8" w:space="0" w:color="auto"/>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
                <w:color w:val="auto"/>
                <w:lang w:eastAsia="fr-FR"/>
              </w:rPr>
            </w:pPr>
            <w:r w:rsidRPr="007A4FBA">
              <w:rPr>
                <w:rFonts w:eastAsia="Times New Roman"/>
                <w:b/>
                <w:color w:val="auto"/>
                <w:sz w:val="22"/>
                <w:szCs w:val="22"/>
                <w:lang w:eastAsia="fr-FR"/>
              </w:rPr>
              <w:t>Régimes volontaire de paiement privé des soins de santé</w:t>
            </w:r>
          </w:p>
        </w:tc>
        <w:tc>
          <w:tcPr>
            <w:tcW w:w="1509" w:type="pct"/>
            <w:tcBorders>
              <w:top w:val="nil"/>
              <w:left w:val="nil"/>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r w:rsidRPr="007A4FBA">
              <w:rPr>
                <w:rFonts w:eastAsia="Times New Roman"/>
                <w:bCs w:val="0"/>
                <w:color w:val="auto"/>
                <w:sz w:val="20"/>
                <w:szCs w:val="20"/>
                <w:lang w:eastAsia="fr-FR"/>
              </w:rPr>
              <w:t>Régimes d'assurance maladie facultative</w:t>
            </w:r>
          </w:p>
        </w:tc>
        <w:tc>
          <w:tcPr>
            <w:tcW w:w="943" w:type="pct"/>
            <w:tcBorders>
              <w:top w:val="nil"/>
              <w:left w:val="nil"/>
              <w:bottom w:val="single" w:sz="4" w:space="0" w:color="auto"/>
              <w:right w:val="single" w:sz="4" w:space="0" w:color="auto"/>
            </w:tcBorders>
            <w:shd w:val="clear" w:color="auto" w:fill="auto"/>
            <w:noWrap/>
            <w:vAlign w:val="center"/>
            <w:hideMark/>
          </w:tcPr>
          <w:p w:rsidR="00F95A85" w:rsidRDefault="00F95A85" w:rsidP="00377EA1">
            <w:pPr>
              <w:autoSpaceDE/>
              <w:autoSpaceDN/>
              <w:adjustRightInd/>
              <w:spacing w:after="0" w:line="240" w:lineRule="auto"/>
              <w:jc w:val="right"/>
              <w:rPr>
                <w:rFonts w:eastAsia="Times New Roman"/>
                <w:bCs w:val="0"/>
                <w:color w:val="auto"/>
                <w:sz w:val="20"/>
                <w:szCs w:val="20"/>
                <w:lang w:eastAsia="fr-FR"/>
              </w:rPr>
            </w:pPr>
          </w:p>
          <w:p w:rsidR="000A0DE5" w:rsidRPr="007A4FBA" w:rsidRDefault="00F95A85" w:rsidP="00F95A85">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3270</w:t>
            </w:r>
            <w:r w:rsidR="00377EA1">
              <w:rPr>
                <w:rFonts w:eastAsia="Times New Roman"/>
                <w:bCs w:val="0"/>
                <w:color w:val="auto"/>
                <w:sz w:val="20"/>
                <w:szCs w:val="20"/>
                <w:lang w:eastAsia="fr-FR"/>
              </w:rPr>
              <w:t>,</w:t>
            </w:r>
            <w:r>
              <w:rPr>
                <w:rFonts w:eastAsia="Times New Roman"/>
                <w:bCs w:val="0"/>
                <w:color w:val="auto"/>
                <w:sz w:val="20"/>
                <w:szCs w:val="20"/>
                <w:lang w:eastAsia="fr-FR"/>
              </w:rPr>
              <w:t>28</w:t>
            </w:r>
          </w:p>
        </w:tc>
        <w:tc>
          <w:tcPr>
            <w:tcW w:w="69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A0DE5" w:rsidRDefault="000A0DE5" w:rsidP="00E858DF">
            <w:pPr>
              <w:autoSpaceDE/>
              <w:autoSpaceDN/>
              <w:adjustRightInd/>
              <w:spacing w:after="0" w:line="240" w:lineRule="auto"/>
              <w:jc w:val="center"/>
              <w:rPr>
                <w:rFonts w:eastAsia="Times New Roman"/>
                <w:bCs w:val="0"/>
                <w:color w:val="auto"/>
                <w:sz w:val="20"/>
                <w:szCs w:val="20"/>
                <w:lang w:eastAsia="fr-FR"/>
              </w:rPr>
            </w:pPr>
          </w:p>
          <w:p w:rsidR="00D31790" w:rsidRPr="007A4FBA" w:rsidRDefault="002740BE" w:rsidP="00E858DF">
            <w:pPr>
              <w:autoSpaceDE/>
              <w:autoSpaceDN/>
              <w:adjustRightInd/>
              <w:spacing w:after="0" w:line="240" w:lineRule="auto"/>
              <w:jc w:val="center"/>
              <w:rPr>
                <w:rFonts w:eastAsia="Times New Roman"/>
                <w:bCs w:val="0"/>
                <w:color w:val="auto"/>
                <w:sz w:val="20"/>
                <w:szCs w:val="20"/>
                <w:lang w:eastAsia="fr-FR"/>
              </w:rPr>
            </w:pPr>
            <w:r w:rsidRPr="002740BE">
              <w:rPr>
                <w:rFonts w:eastAsia="Times New Roman"/>
                <w:bCs w:val="0"/>
                <w:color w:val="auto"/>
                <w:sz w:val="20"/>
                <w:szCs w:val="20"/>
                <w:lang w:eastAsia="fr-FR"/>
              </w:rPr>
              <w:t>109946,78</w:t>
            </w:r>
          </w:p>
        </w:tc>
        <w:tc>
          <w:tcPr>
            <w:tcW w:w="590"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0A0DE5" w:rsidRPr="007A4FBA" w:rsidRDefault="00BD690B" w:rsidP="00E858DF">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27,</w:t>
            </w:r>
            <w:r w:rsidR="00402F3C">
              <w:rPr>
                <w:rFonts w:eastAsia="Times New Roman"/>
                <w:bCs w:val="0"/>
                <w:sz w:val="20"/>
                <w:szCs w:val="20"/>
                <w:lang w:eastAsia="fr-FR"/>
              </w:rPr>
              <w:t>40</w:t>
            </w:r>
          </w:p>
        </w:tc>
      </w:tr>
      <w:tr w:rsidR="000A0DE5" w:rsidRPr="007A4FBA" w:rsidTr="00E858DF">
        <w:trPr>
          <w:trHeight w:val="795"/>
        </w:trPr>
        <w:tc>
          <w:tcPr>
            <w:tcW w:w="1262" w:type="pct"/>
            <w:vMerge/>
            <w:tcBorders>
              <w:top w:val="nil"/>
              <w:left w:val="single" w:sz="8" w:space="0" w:color="auto"/>
              <w:bottom w:val="single" w:sz="4" w:space="0" w:color="auto"/>
              <w:right w:val="single" w:sz="4" w:space="0" w:color="auto"/>
            </w:tcBorders>
            <w:vAlign w:val="center"/>
            <w:hideMark/>
          </w:tcPr>
          <w:p w:rsidR="000A0DE5" w:rsidRPr="007A4FBA" w:rsidRDefault="000A0DE5" w:rsidP="00E858DF">
            <w:pPr>
              <w:autoSpaceDE/>
              <w:autoSpaceDN/>
              <w:adjustRightInd/>
              <w:spacing w:after="0" w:line="240" w:lineRule="auto"/>
              <w:jc w:val="left"/>
              <w:rPr>
                <w:rFonts w:eastAsia="Times New Roman"/>
                <w:b/>
                <w:color w:val="auto"/>
                <w:lang w:eastAsia="fr-FR"/>
              </w:rPr>
            </w:pPr>
          </w:p>
        </w:tc>
        <w:tc>
          <w:tcPr>
            <w:tcW w:w="1509" w:type="pct"/>
            <w:tcBorders>
              <w:top w:val="nil"/>
              <w:left w:val="nil"/>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r w:rsidRPr="007A4FBA">
              <w:rPr>
                <w:rFonts w:eastAsia="Times New Roman"/>
                <w:bCs w:val="0"/>
                <w:color w:val="auto"/>
                <w:sz w:val="20"/>
                <w:szCs w:val="20"/>
                <w:lang w:eastAsia="fr-FR"/>
              </w:rPr>
              <w:t>Systèmes de financement des ISBLSM (y compris les agences de dévelo</w:t>
            </w:r>
            <w:r w:rsidR="00D02CFF">
              <w:rPr>
                <w:rFonts w:eastAsia="Times New Roman"/>
                <w:bCs w:val="0"/>
                <w:color w:val="auto"/>
                <w:sz w:val="20"/>
                <w:szCs w:val="20"/>
                <w:lang w:eastAsia="fr-FR"/>
              </w:rPr>
              <w:t>p</w:t>
            </w:r>
            <w:r w:rsidRPr="007A4FBA">
              <w:rPr>
                <w:rFonts w:eastAsia="Times New Roman"/>
                <w:bCs w:val="0"/>
                <w:color w:val="auto"/>
                <w:sz w:val="20"/>
                <w:szCs w:val="20"/>
                <w:lang w:eastAsia="fr-FR"/>
              </w:rPr>
              <w:t>pement)</w:t>
            </w:r>
          </w:p>
        </w:tc>
        <w:tc>
          <w:tcPr>
            <w:tcW w:w="943" w:type="pct"/>
            <w:tcBorders>
              <w:top w:val="nil"/>
              <w:left w:val="nil"/>
              <w:bottom w:val="single" w:sz="4" w:space="0" w:color="auto"/>
              <w:right w:val="single" w:sz="4" w:space="0" w:color="auto"/>
            </w:tcBorders>
            <w:shd w:val="clear" w:color="auto" w:fill="auto"/>
            <w:noWrap/>
            <w:vAlign w:val="center"/>
            <w:hideMark/>
          </w:tcPr>
          <w:p w:rsidR="000A0DE5" w:rsidRPr="007A4FBA" w:rsidRDefault="00BA7B1B" w:rsidP="00F95A85">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10</w:t>
            </w:r>
            <w:r w:rsidR="00F95A85">
              <w:rPr>
                <w:rFonts w:eastAsia="Times New Roman"/>
                <w:bCs w:val="0"/>
                <w:color w:val="auto"/>
                <w:sz w:val="20"/>
                <w:szCs w:val="20"/>
                <w:lang w:eastAsia="fr-FR"/>
              </w:rPr>
              <w:t>5423</w:t>
            </w:r>
            <w:r>
              <w:rPr>
                <w:rFonts w:eastAsia="Times New Roman"/>
                <w:bCs w:val="0"/>
                <w:color w:val="auto"/>
                <w:sz w:val="20"/>
                <w:szCs w:val="20"/>
                <w:lang w:eastAsia="fr-FR"/>
              </w:rPr>
              <w:t>,</w:t>
            </w:r>
            <w:r w:rsidR="00F95A85">
              <w:rPr>
                <w:rFonts w:eastAsia="Times New Roman"/>
                <w:bCs w:val="0"/>
                <w:color w:val="auto"/>
                <w:sz w:val="20"/>
                <w:szCs w:val="20"/>
                <w:lang w:eastAsia="fr-FR"/>
              </w:rPr>
              <w:t>95</w:t>
            </w:r>
          </w:p>
        </w:tc>
        <w:tc>
          <w:tcPr>
            <w:tcW w:w="696" w:type="pct"/>
            <w:vMerge/>
            <w:tcBorders>
              <w:top w:val="nil"/>
              <w:left w:val="single" w:sz="4" w:space="0" w:color="auto"/>
              <w:bottom w:val="single" w:sz="4" w:space="0" w:color="000000"/>
              <w:right w:val="single" w:sz="4" w:space="0" w:color="auto"/>
            </w:tcBorders>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p>
        </w:tc>
        <w:tc>
          <w:tcPr>
            <w:tcW w:w="590" w:type="pct"/>
            <w:vMerge/>
            <w:tcBorders>
              <w:top w:val="nil"/>
              <w:left w:val="single" w:sz="4" w:space="0" w:color="auto"/>
              <w:bottom w:val="single" w:sz="4" w:space="0" w:color="000000"/>
              <w:right w:val="single" w:sz="8" w:space="0" w:color="auto"/>
            </w:tcBorders>
            <w:vAlign w:val="center"/>
            <w:hideMark/>
          </w:tcPr>
          <w:p w:rsidR="000A0DE5" w:rsidRPr="007A4FBA" w:rsidRDefault="000A0DE5" w:rsidP="00E858DF">
            <w:pPr>
              <w:autoSpaceDE/>
              <w:autoSpaceDN/>
              <w:adjustRightInd/>
              <w:spacing w:after="0" w:line="240" w:lineRule="auto"/>
              <w:jc w:val="left"/>
              <w:rPr>
                <w:rFonts w:eastAsia="Times New Roman"/>
                <w:bCs w:val="0"/>
                <w:sz w:val="20"/>
                <w:szCs w:val="20"/>
                <w:lang w:eastAsia="fr-FR"/>
              </w:rPr>
            </w:pPr>
          </w:p>
        </w:tc>
      </w:tr>
      <w:tr w:rsidR="000A0DE5" w:rsidRPr="007A4FBA" w:rsidTr="00E858DF">
        <w:trPr>
          <w:trHeight w:val="675"/>
        </w:trPr>
        <w:tc>
          <w:tcPr>
            <w:tcW w:w="1262" w:type="pct"/>
            <w:vMerge/>
            <w:tcBorders>
              <w:top w:val="nil"/>
              <w:left w:val="single" w:sz="8" w:space="0" w:color="auto"/>
              <w:bottom w:val="single" w:sz="4" w:space="0" w:color="auto"/>
              <w:right w:val="single" w:sz="4" w:space="0" w:color="auto"/>
            </w:tcBorders>
            <w:vAlign w:val="center"/>
            <w:hideMark/>
          </w:tcPr>
          <w:p w:rsidR="000A0DE5" w:rsidRPr="007A4FBA" w:rsidRDefault="000A0DE5" w:rsidP="00E858DF">
            <w:pPr>
              <w:autoSpaceDE/>
              <w:autoSpaceDN/>
              <w:adjustRightInd/>
              <w:spacing w:after="0" w:line="240" w:lineRule="auto"/>
              <w:jc w:val="left"/>
              <w:rPr>
                <w:rFonts w:eastAsia="Times New Roman"/>
                <w:b/>
                <w:color w:val="auto"/>
                <w:lang w:eastAsia="fr-FR"/>
              </w:rPr>
            </w:pPr>
          </w:p>
        </w:tc>
        <w:tc>
          <w:tcPr>
            <w:tcW w:w="1509" w:type="pct"/>
            <w:tcBorders>
              <w:top w:val="nil"/>
              <w:left w:val="nil"/>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r w:rsidRPr="007A4FBA">
              <w:rPr>
                <w:rFonts w:eastAsia="Times New Roman"/>
                <w:bCs w:val="0"/>
                <w:color w:val="auto"/>
                <w:sz w:val="20"/>
                <w:szCs w:val="20"/>
                <w:lang w:eastAsia="fr-FR"/>
              </w:rPr>
              <w:t>Régimes de financement des entreprises</w:t>
            </w:r>
          </w:p>
        </w:tc>
        <w:tc>
          <w:tcPr>
            <w:tcW w:w="943" w:type="pct"/>
            <w:tcBorders>
              <w:top w:val="nil"/>
              <w:left w:val="nil"/>
              <w:bottom w:val="single" w:sz="4" w:space="0" w:color="auto"/>
              <w:right w:val="single" w:sz="4" w:space="0" w:color="auto"/>
            </w:tcBorders>
            <w:shd w:val="clear" w:color="auto" w:fill="auto"/>
            <w:noWrap/>
            <w:vAlign w:val="center"/>
            <w:hideMark/>
          </w:tcPr>
          <w:p w:rsidR="000A0DE5" w:rsidRPr="007A4FBA" w:rsidRDefault="008D28EB" w:rsidP="00E858DF">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1 252,55</w:t>
            </w:r>
          </w:p>
        </w:tc>
        <w:tc>
          <w:tcPr>
            <w:tcW w:w="696" w:type="pct"/>
            <w:vMerge/>
            <w:tcBorders>
              <w:top w:val="nil"/>
              <w:left w:val="single" w:sz="4" w:space="0" w:color="auto"/>
              <w:bottom w:val="single" w:sz="4" w:space="0" w:color="000000"/>
              <w:right w:val="single" w:sz="4" w:space="0" w:color="auto"/>
            </w:tcBorders>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p>
        </w:tc>
        <w:tc>
          <w:tcPr>
            <w:tcW w:w="590" w:type="pct"/>
            <w:vMerge/>
            <w:tcBorders>
              <w:top w:val="nil"/>
              <w:left w:val="single" w:sz="4" w:space="0" w:color="auto"/>
              <w:bottom w:val="single" w:sz="4" w:space="0" w:color="000000"/>
              <w:right w:val="single" w:sz="8" w:space="0" w:color="auto"/>
            </w:tcBorders>
            <w:vAlign w:val="center"/>
            <w:hideMark/>
          </w:tcPr>
          <w:p w:rsidR="000A0DE5" w:rsidRPr="007A4FBA" w:rsidRDefault="000A0DE5" w:rsidP="00E858DF">
            <w:pPr>
              <w:autoSpaceDE/>
              <w:autoSpaceDN/>
              <w:adjustRightInd/>
              <w:spacing w:after="0" w:line="240" w:lineRule="auto"/>
              <w:jc w:val="left"/>
              <w:rPr>
                <w:rFonts w:eastAsia="Times New Roman"/>
                <w:bCs w:val="0"/>
                <w:sz w:val="20"/>
                <w:szCs w:val="20"/>
                <w:lang w:eastAsia="fr-FR"/>
              </w:rPr>
            </w:pPr>
          </w:p>
        </w:tc>
      </w:tr>
      <w:tr w:rsidR="000A0DE5" w:rsidRPr="007A4FBA" w:rsidTr="00E858DF">
        <w:trPr>
          <w:trHeight w:val="675"/>
        </w:trPr>
        <w:tc>
          <w:tcPr>
            <w:tcW w:w="1262" w:type="pct"/>
            <w:vMerge w:val="restart"/>
            <w:tcBorders>
              <w:top w:val="nil"/>
              <w:left w:val="single" w:sz="8" w:space="0" w:color="auto"/>
              <w:bottom w:val="single" w:sz="4" w:space="0" w:color="000000"/>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
                <w:color w:val="auto"/>
                <w:lang w:eastAsia="fr-FR"/>
              </w:rPr>
            </w:pPr>
            <w:r w:rsidRPr="007A4FBA">
              <w:rPr>
                <w:rFonts w:eastAsia="Times New Roman"/>
                <w:b/>
                <w:color w:val="auto"/>
                <w:sz w:val="22"/>
                <w:szCs w:val="22"/>
                <w:lang w:eastAsia="fr-FR"/>
              </w:rPr>
              <w:t>Paiement direct des ménages</w:t>
            </w:r>
          </w:p>
        </w:tc>
        <w:tc>
          <w:tcPr>
            <w:tcW w:w="1509" w:type="pct"/>
            <w:tcBorders>
              <w:top w:val="nil"/>
              <w:left w:val="nil"/>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r w:rsidRPr="007A4FBA">
              <w:rPr>
                <w:rFonts w:eastAsia="Times New Roman"/>
                <w:bCs w:val="0"/>
                <w:color w:val="auto"/>
                <w:sz w:val="20"/>
                <w:szCs w:val="20"/>
                <w:lang w:eastAsia="fr-FR"/>
              </w:rPr>
              <w:t xml:space="preserve">Paiement direct sans partage de coûts  </w:t>
            </w:r>
          </w:p>
        </w:tc>
        <w:tc>
          <w:tcPr>
            <w:tcW w:w="943" w:type="pct"/>
            <w:tcBorders>
              <w:top w:val="nil"/>
              <w:left w:val="nil"/>
              <w:bottom w:val="single" w:sz="4" w:space="0" w:color="auto"/>
              <w:right w:val="single" w:sz="4" w:space="0" w:color="auto"/>
            </w:tcBorders>
            <w:shd w:val="clear" w:color="auto" w:fill="auto"/>
            <w:noWrap/>
            <w:vAlign w:val="center"/>
            <w:hideMark/>
          </w:tcPr>
          <w:p w:rsidR="000A0DE5" w:rsidRPr="007A4FBA" w:rsidRDefault="000A0DE5" w:rsidP="00E858DF">
            <w:pPr>
              <w:autoSpaceDE/>
              <w:autoSpaceDN/>
              <w:adjustRightInd/>
              <w:spacing w:after="0" w:line="240" w:lineRule="auto"/>
              <w:jc w:val="right"/>
              <w:rPr>
                <w:rFonts w:eastAsia="Times New Roman"/>
                <w:bCs w:val="0"/>
                <w:color w:val="auto"/>
                <w:sz w:val="20"/>
                <w:szCs w:val="20"/>
                <w:lang w:eastAsia="fr-FR"/>
              </w:rPr>
            </w:pPr>
            <w:r w:rsidRPr="007A4FBA">
              <w:rPr>
                <w:rFonts w:eastAsia="Times New Roman"/>
                <w:bCs w:val="0"/>
                <w:color w:val="auto"/>
                <w:sz w:val="20"/>
                <w:szCs w:val="20"/>
                <w:lang w:eastAsia="fr-FR"/>
              </w:rPr>
              <w:t>189 034,03</w:t>
            </w:r>
          </w:p>
        </w:tc>
        <w:tc>
          <w:tcPr>
            <w:tcW w:w="69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A0DE5" w:rsidRPr="007A4FBA" w:rsidRDefault="00AF0266" w:rsidP="00A805AA">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189</w:t>
            </w:r>
            <w:r w:rsidR="00A805AA">
              <w:rPr>
                <w:rFonts w:eastAsia="Times New Roman"/>
                <w:bCs w:val="0"/>
                <w:color w:val="auto"/>
                <w:sz w:val="20"/>
                <w:szCs w:val="20"/>
                <w:lang w:eastAsia="fr-FR"/>
              </w:rPr>
              <w:t> </w:t>
            </w:r>
            <w:r>
              <w:rPr>
                <w:rFonts w:eastAsia="Times New Roman"/>
                <w:bCs w:val="0"/>
                <w:color w:val="auto"/>
                <w:sz w:val="20"/>
                <w:szCs w:val="20"/>
                <w:lang w:eastAsia="fr-FR"/>
              </w:rPr>
              <w:t>0</w:t>
            </w:r>
            <w:r w:rsidR="00A805AA">
              <w:rPr>
                <w:rFonts w:eastAsia="Times New Roman"/>
                <w:bCs w:val="0"/>
                <w:color w:val="auto"/>
                <w:sz w:val="20"/>
                <w:szCs w:val="20"/>
                <w:lang w:eastAsia="fr-FR"/>
              </w:rPr>
              <w:t>34,03</w:t>
            </w:r>
          </w:p>
        </w:tc>
        <w:tc>
          <w:tcPr>
            <w:tcW w:w="590"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0A0DE5" w:rsidRPr="007A4FBA" w:rsidRDefault="000A0DE5" w:rsidP="00BD690B">
            <w:pPr>
              <w:autoSpaceDE/>
              <w:autoSpaceDN/>
              <w:adjustRightInd/>
              <w:spacing w:after="0" w:line="240" w:lineRule="auto"/>
              <w:jc w:val="center"/>
              <w:rPr>
                <w:rFonts w:eastAsia="Times New Roman"/>
                <w:bCs w:val="0"/>
                <w:sz w:val="20"/>
                <w:szCs w:val="20"/>
                <w:lang w:eastAsia="fr-FR"/>
              </w:rPr>
            </w:pPr>
            <w:r w:rsidRPr="007A4FBA">
              <w:rPr>
                <w:rFonts w:eastAsia="Times New Roman"/>
                <w:bCs w:val="0"/>
                <w:sz w:val="20"/>
                <w:szCs w:val="20"/>
                <w:lang w:eastAsia="fr-FR"/>
              </w:rPr>
              <w:t>47,</w:t>
            </w:r>
            <w:r w:rsidR="00BD690B">
              <w:rPr>
                <w:rFonts w:eastAsia="Times New Roman"/>
                <w:bCs w:val="0"/>
                <w:sz w:val="20"/>
                <w:szCs w:val="20"/>
                <w:lang w:eastAsia="fr-FR"/>
              </w:rPr>
              <w:t>10</w:t>
            </w:r>
          </w:p>
        </w:tc>
      </w:tr>
      <w:tr w:rsidR="00377EA1" w:rsidRPr="007A4FBA" w:rsidTr="00AF0266">
        <w:trPr>
          <w:trHeight w:val="675"/>
        </w:trPr>
        <w:tc>
          <w:tcPr>
            <w:tcW w:w="1262" w:type="pct"/>
            <w:vMerge/>
            <w:tcBorders>
              <w:top w:val="nil"/>
              <w:left w:val="single" w:sz="8" w:space="0" w:color="auto"/>
              <w:bottom w:val="single" w:sz="4" w:space="0" w:color="000000"/>
              <w:right w:val="single" w:sz="4" w:space="0" w:color="auto"/>
            </w:tcBorders>
            <w:vAlign w:val="center"/>
            <w:hideMark/>
          </w:tcPr>
          <w:p w:rsidR="000A0DE5" w:rsidRPr="007A4FBA" w:rsidRDefault="000A0DE5" w:rsidP="00E858DF">
            <w:pPr>
              <w:autoSpaceDE/>
              <w:autoSpaceDN/>
              <w:adjustRightInd/>
              <w:spacing w:after="0" w:line="240" w:lineRule="auto"/>
              <w:jc w:val="left"/>
              <w:rPr>
                <w:rFonts w:eastAsia="Times New Roman"/>
                <w:b/>
                <w:color w:val="auto"/>
                <w:lang w:eastAsia="fr-FR"/>
              </w:rPr>
            </w:pPr>
          </w:p>
        </w:tc>
        <w:tc>
          <w:tcPr>
            <w:tcW w:w="1509" w:type="pct"/>
            <w:tcBorders>
              <w:top w:val="nil"/>
              <w:left w:val="nil"/>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r w:rsidRPr="007A4FBA">
              <w:rPr>
                <w:rFonts w:eastAsia="Times New Roman"/>
                <w:bCs w:val="0"/>
                <w:color w:val="auto"/>
                <w:sz w:val="20"/>
                <w:szCs w:val="20"/>
                <w:lang w:eastAsia="fr-FR"/>
              </w:rPr>
              <w:t>Participation aux coûts avec un tiers payant</w:t>
            </w:r>
          </w:p>
        </w:tc>
        <w:tc>
          <w:tcPr>
            <w:tcW w:w="943" w:type="pct"/>
            <w:tcBorders>
              <w:top w:val="nil"/>
              <w:left w:val="nil"/>
              <w:bottom w:val="single" w:sz="4" w:space="0" w:color="auto"/>
              <w:right w:val="single" w:sz="4" w:space="0" w:color="auto"/>
            </w:tcBorders>
            <w:shd w:val="clear" w:color="auto" w:fill="auto"/>
            <w:noWrap/>
            <w:vAlign w:val="center"/>
          </w:tcPr>
          <w:p w:rsidR="000A0DE5" w:rsidRPr="007A4FBA" w:rsidRDefault="000A0DE5" w:rsidP="00E858DF">
            <w:pPr>
              <w:autoSpaceDE/>
              <w:autoSpaceDN/>
              <w:adjustRightInd/>
              <w:spacing w:after="0" w:line="240" w:lineRule="auto"/>
              <w:jc w:val="right"/>
              <w:rPr>
                <w:rFonts w:eastAsia="Times New Roman"/>
                <w:bCs w:val="0"/>
                <w:color w:val="auto"/>
                <w:sz w:val="20"/>
                <w:szCs w:val="20"/>
                <w:lang w:eastAsia="fr-FR"/>
              </w:rPr>
            </w:pPr>
          </w:p>
        </w:tc>
        <w:tc>
          <w:tcPr>
            <w:tcW w:w="696" w:type="pct"/>
            <w:vMerge/>
            <w:tcBorders>
              <w:top w:val="nil"/>
              <w:left w:val="single" w:sz="4" w:space="0" w:color="auto"/>
              <w:bottom w:val="single" w:sz="4" w:space="0" w:color="000000"/>
              <w:right w:val="single" w:sz="4" w:space="0" w:color="auto"/>
            </w:tcBorders>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p>
        </w:tc>
        <w:tc>
          <w:tcPr>
            <w:tcW w:w="590" w:type="pct"/>
            <w:vMerge/>
            <w:tcBorders>
              <w:top w:val="nil"/>
              <w:left w:val="single" w:sz="4" w:space="0" w:color="auto"/>
              <w:bottom w:val="single" w:sz="4" w:space="0" w:color="000000"/>
              <w:right w:val="single" w:sz="8" w:space="0" w:color="auto"/>
            </w:tcBorders>
            <w:vAlign w:val="center"/>
            <w:hideMark/>
          </w:tcPr>
          <w:p w:rsidR="000A0DE5" w:rsidRPr="007A4FBA" w:rsidRDefault="000A0DE5" w:rsidP="00E858DF">
            <w:pPr>
              <w:autoSpaceDE/>
              <w:autoSpaceDN/>
              <w:adjustRightInd/>
              <w:spacing w:after="0" w:line="240" w:lineRule="auto"/>
              <w:jc w:val="left"/>
              <w:rPr>
                <w:rFonts w:eastAsia="Times New Roman"/>
                <w:bCs w:val="0"/>
                <w:sz w:val="20"/>
                <w:szCs w:val="20"/>
                <w:lang w:eastAsia="fr-FR"/>
              </w:rPr>
            </w:pPr>
          </w:p>
        </w:tc>
      </w:tr>
      <w:tr w:rsidR="00377EA1" w:rsidRPr="007A4FBA" w:rsidTr="00AF0266">
        <w:trPr>
          <w:trHeight w:val="1185"/>
        </w:trPr>
        <w:tc>
          <w:tcPr>
            <w:tcW w:w="1262" w:type="pct"/>
            <w:tcBorders>
              <w:top w:val="nil"/>
              <w:left w:val="single" w:sz="8" w:space="0" w:color="auto"/>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
                <w:color w:val="auto"/>
                <w:lang w:eastAsia="fr-FR"/>
              </w:rPr>
            </w:pPr>
            <w:r w:rsidRPr="007A4FBA">
              <w:rPr>
                <w:rFonts w:eastAsia="Times New Roman"/>
                <w:b/>
                <w:color w:val="auto"/>
                <w:sz w:val="22"/>
                <w:szCs w:val="22"/>
                <w:lang w:eastAsia="fr-FR"/>
              </w:rPr>
              <w:t>Régimes de financement du reste du monde (</w:t>
            </w:r>
            <w:r w:rsidR="005003EC" w:rsidRPr="007A4FBA">
              <w:rPr>
                <w:rFonts w:eastAsia="Times New Roman"/>
                <w:b/>
                <w:color w:val="auto"/>
                <w:sz w:val="22"/>
                <w:szCs w:val="22"/>
                <w:lang w:eastAsia="fr-FR"/>
              </w:rPr>
              <w:t>non-résidents</w:t>
            </w:r>
            <w:r w:rsidRPr="007A4FBA">
              <w:rPr>
                <w:rFonts w:eastAsia="Times New Roman"/>
                <w:b/>
                <w:color w:val="auto"/>
                <w:sz w:val="22"/>
                <w:szCs w:val="22"/>
                <w:lang w:eastAsia="fr-FR"/>
              </w:rPr>
              <w:t>)</w:t>
            </w:r>
          </w:p>
        </w:tc>
        <w:tc>
          <w:tcPr>
            <w:tcW w:w="1509" w:type="pct"/>
            <w:tcBorders>
              <w:top w:val="nil"/>
              <w:left w:val="nil"/>
              <w:bottom w:val="single" w:sz="4"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Cs w:val="0"/>
                <w:color w:val="auto"/>
                <w:sz w:val="20"/>
                <w:szCs w:val="20"/>
                <w:lang w:eastAsia="fr-FR"/>
              </w:rPr>
            </w:pPr>
            <w:r w:rsidRPr="007A4FBA">
              <w:rPr>
                <w:rFonts w:eastAsia="Times New Roman"/>
                <w:bCs w:val="0"/>
                <w:color w:val="auto"/>
                <w:sz w:val="20"/>
                <w:szCs w:val="20"/>
                <w:lang w:eastAsia="fr-FR"/>
              </w:rPr>
              <w:t>Régimes facultatifs (non-résidents)</w:t>
            </w:r>
          </w:p>
        </w:tc>
        <w:tc>
          <w:tcPr>
            <w:tcW w:w="943" w:type="pct"/>
            <w:tcBorders>
              <w:top w:val="nil"/>
              <w:left w:val="nil"/>
              <w:bottom w:val="single" w:sz="4" w:space="0" w:color="auto"/>
              <w:right w:val="single" w:sz="4" w:space="0" w:color="auto"/>
            </w:tcBorders>
            <w:shd w:val="clear" w:color="auto" w:fill="auto"/>
            <w:noWrap/>
            <w:vAlign w:val="center"/>
          </w:tcPr>
          <w:p w:rsidR="000A0DE5" w:rsidRPr="007A4FBA" w:rsidRDefault="000A0DE5" w:rsidP="00BA7B1B">
            <w:pPr>
              <w:autoSpaceDE/>
              <w:autoSpaceDN/>
              <w:adjustRightInd/>
              <w:spacing w:after="0" w:line="240" w:lineRule="auto"/>
              <w:jc w:val="right"/>
              <w:rPr>
                <w:rFonts w:eastAsia="Times New Roman"/>
                <w:bCs w:val="0"/>
                <w:color w:val="auto"/>
                <w:sz w:val="20"/>
                <w:szCs w:val="20"/>
                <w:lang w:eastAsia="fr-FR"/>
              </w:rPr>
            </w:pPr>
          </w:p>
        </w:tc>
        <w:tc>
          <w:tcPr>
            <w:tcW w:w="696" w:type="pct"/>
            <w:tcBorders>
              <w:top w:val="nil"/>
              <w:left w:val="nil"/>
              <w:bottom w:val="single" w:sz="4" w:space="0" w:color="auto"/>
              <w:right w:val="single" w:sz="4" w:space="0" w:color="auto"/>
            </w:tcBorders>
            <w:shd w:val="clear" w:color="auto" w:fill="auto"/>
            <w:noWrap/>
            <w:vAlign w:val="center"/>
            <w:hideMark/>
          </w:tcPr>
          <w:p w:rsidR="000A0DE5" w:rsidRPr="007A4FBA" w:rsidRDefault="000A0DE5" w:rsidP="00F95A85">
            <w:pPr>
              <w:autoSpaceDE/>
              <w:autoSpaceDN/>
              <w:adjustRightInd/>
              <w:spacing w:after="0" w:line="240" w:lineRule="auto"/>
              <w:jc w:val="center"/>
              <w:rPr>
                <w:rFonts w:eastAsia="Times New Roman"/>
                <w:bCs w:val="0"/>
                <w:color w:val="auto"/>
                <w:sz w:val="20"/>
                <w:szCs w:val="20"/>
                <w:lang w:eastAsia="fr-FR"/>
              </w:rPr>
            </w:pPr>
          </w:p>
        </w:tc>
        <w:tc>
          <w:tcPr>
            <w:tcW w:w="590" w:type="pct"/>
            <w:tcBorders>
              <w:top w:val="nil"/>
              <w:left w:val="nil"/>
              <w:bottom w:val="single" w:sz="4" w:space="0" w:color="auto"/>
              <w:right w:val="single" w:sz="8" w:space="0" w:color="auto"/>
            </w:tcBorders>
            <w:shd w:val="clear" w:color="auto" w:fill="auto"/>
            <w:noWrap/>
            <w:vAlign w:val="center"/>
            <w:hideMark/>
          </w:tcPr>
          <w:p w:rsidR="000A0DE5" w:rsidRPr="007A4FBA" w:rsidRDefault="000A0DE5" w:rsidP="00E858DF">
            <w:pPr>
              <w:autoSpaceDE/>
              <w:autoSpaceDN/>
              <w:adjustRightInd/>
              <w:spacing w:after="0" w:line="240" w:lineRule="auto"/>
              <w:jc w:val="center"/>
              <w:rPr>
                <w:rFonts w:eastAsia="Times New Roman"/>
                <w:bCs w:val="0"/>
                <w:sz w:val="20"/>
                <w:szCs w:val="20"/>
                <w:lang w:eastAsia="fr-FR"/>
              </w:rPr>
            </w:pPr>
          </w:p>
        </w:tc>
      </w:tr>
      <w:tr w:rsidR="000A0DE5" w:rsidRPr="007A4FBA" w:rsidTr="00E858DF">
        <w:trPr>
          <w:trHeight w:val="315"/>
        </w:trPr>
        <w:tc>
          <w:tcPr>
            <w:tcW w:w="1262" w:type="pct"/>
            <w:tcBorders>
              <w:top w:val="nil"/>
              <w:left w:val="single" w:sz="8" w:space="0" w:color="auto"/>
              <w:bottom w:val="single" w:sz="8"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
                <w:color w:val="auto"/>
                <w:lang w:eastAsia="fr-FR"/>
              </w:rPr>
            </w:pPr>
            <w:r w:rsidRPr="007A4FBA">
              <w:rPr>
                <w:rFonts w:eastAsia="Times New Roman"/>
                <w:b/>
                <w:color w:val="auto"/>
                <w:sz w:val="22"/>
                <w:szCs w:val="22"/>
                <w:lang w:eastAsia="fr-FR"/>
              </w:rPr>
              <w:t>Total</w:t>
            </w:r>
          </w:p>
        </w:tc>
        <w:tc>
          <w:tcPr>
            <w:tcW w:w="1509" w:type="pct"/>
            <w:tcBorders>
              <w:top w:val="nil"/>
              <w:left w:val="nil"/>
              <w:bottom w:val="single" w:sz="8"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
                <w:color w:val="auto"/>
                <w:sz w:val="20"/>
                <w:szCs w:val="20"/>
                <w:lang w:eastAsia="fr-FR"/>
              </w:rPr>
            </w:pPr>
            <w:r w:rsidRPr="007A4FBA">
              <w:rPr>
                <w:rFonts w:eastAsia="Times New Roman"/>
                <w:b/>
                <w:color w:val="auto"/>
                <w:sz w:val="20"/>
                <w:szCs w:val="20"/>
                <w:lang w:eastAsia="fr-FR"/>
              </w:rPr>
              <w:t> </w:t>
            </w:r>
          </w:p>
        </w:tc>
        <w:tc>
          <w:tcPr>
            <w:tcW w:w="943" w:type="pct"/>
            <w:tcBorders>
              <w:top w:val="nil"/>
              <w:left w:val="nil"/>
              <w:bottom w:val="single" w:sz="8" w:space="0" w:color="auto"/>
              <w:right w:val="single" w:sz="4" w:space="0" w:color="auto"/>
            </w:tcBorders>
            <w:shd w:val="clear" w:color="auto" w:fill="auto"/>
            <w:vAlign w:val="center"/>
            <w:hideMark/>
          </w:tcPr>
          <w:p w:rsidR="000A0DE5" w:rsidRPr="007A4FBA" w:rsidRDefault="000A0DE5" w:rsidP="00E858DF">
            <w:pPr>
              <w:autoSpaceDE/>
              <w:autoSpaceDN/>
              <w:adjustRightInd/>
              <w:spacing w:after="0" w:line="240" w:lineRule="auto"/>
              <w:jc w:val="left"/>
              <w:rPr>
                <w:rFonts w:eastAsia="Times New Roman"/>
                <w:b/>
                <w:color w:val="auto"/>
                <w:sz w:val="20"/>
                <w:szCs w:val="20"/>
                <w:lang w:eastAsia="fr-FR"/>
              </w:rPr>
            </w:pPr>
          </w:p>
        </w:tc>
        <w:tc>
          <w:tcPr>
            <w:tcW w:w="696" w:type="pct"/>
            <w:tcBorders>
              <w:top w:val="nil"/>
              <w:left w:val="nil"/>
              <w:bottom w:val="single" w:sz="8" w:space="0" w:color="auto"/>
              <w:right w:val="single" w:sz="4" w:space="0" w:color="auto"/>
            </w:tcBorders>
            <w:shd w:val="clear" w:color="auto" w:fill="auto"/>
            <w:noWrap/>
            <w:vAlign w:val="center"/>
            <w:hideMark/>
          </w:tcPr>
          <w:p w:rsidR="000A0DE5" w:rsidRPr="007A4FBA" w:rsidRDefault="004A3C48" w:rsidP="00E858DF">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 xml:space="preserve">  401 310</w:t>
            </w:r>
          </w:p>
        </w:tc>
        <w:tc>
          <w:tcPr>
            <w:tcW w:w="590" w:type="pct"/>
            <w:tcBorders>
              <w:top w:val="nil"/>
              <w:left w:val="nil"/>
              <w:bottom w:val="single" w:sz="8" w:space="0" w:color="auto"/>
              <w:right w:val="single" w:sz="8" w:space="0" w:color="auto"/>
            </w:tcBorders>
            <w:shd w:val="clear" w:color="auto" w:fill="auto"/>
            <w:noWrap/>
            <w:vAlign w:val="center"/>
            <w:hideMark/>
          </w:tcPr>
          <w:p w:rsidR="000A0DE5" w:rsidRPr="007A4FBA" w:rsidRDefault="000A0DE5" w:rsidP="00E858DF">
            <w:pPr>
              <w:autoSpaceDE/>
              <w:autoSpaceDN/>
              <w:adjustRightInd/>
              <w:spacing w:after="0" w:line="240" w:lineRule="auto"/>
              <w:jc w:val="center"/>
              <w:rPr>
                <w:rFonts w:eastAsia="Times New Roman"/>
                <w:bCs w:val="0"/>
                <w:sz w:val="20"/>
                <w:szCs w:val="20"/>
                <w:lang w:eastAsia="fr-FR"/>
              </w:rPr>
            </w:pPr>
            <w:r w:rsidRPr="007A4FBA">
              <w:rPr>
                <w:rFonts w:eastAsia="Times New Roman"/>
                <w:bCs w:val="0"/>
                <w:sz w:val="20"/>
                <w:szCs w:val="20"/>
                <w:lang w:eastAsia="fr-FR"/>
              </w:rPr>
              <w:t>100,00</w:t>
            </w:r>
          </w:p>
        </w:tc>
      </w:tr>
    </w:tbl>
    <w:p w:rsidR="000A0DE5" w:rsidRPr="0044670F" w:rsidRDefault="000A0DE5" w:rsidP="00741914">
      <w:pPr>
        <w:spacing w:before="240" w:line="312" w:lineRule="auto"/>
        <w:rPr>
          <w:lang w:eastAsia="en-US"/>
        </w:rPr>
      </w:pPr>
      <w:r>
        <w:rPr>
          <w:lang w:eastAsia="en-US"/>
        </w:rPr>
        <w:t>S</w:t>
      </w:r>
      <w:r w:rsidRPr="0044670F">
        <w:rPr>
          <w:lang w:eastAsia="en-US"/>
        </w:rPr>
        <w:t>e</w:t>
      </w:r>
      <w:r>
        <w:rPr>
          <w:lang w:eastAsia="en-US"/>
        </w:rPr>
        <w:t>lon le</w:t>
      </w:r>
      <w:r w:rsidRPr="0044670F">
        <w:rPr>
          <w:lang w:eastAsia="en-US"/>
        </w:rPr>
        <w:t xml:space="preserve"> tableau</w:t>
      </w:r>
      <w:r>
        <w:rPr>
          <w:lang w:eastAsia="en-US"/>
        </w:rPr>
        <w:t xml:space="preserve"> 3.1.2</w:t>
      </w:r>
      <w:r w:rsidR="00A84D64">
        <w:rPr>
          <w:lang w:eastAsia="en-US"/>
        </w:rPr>
        <w:t>,</w:t>
      </w:r>
      <w:r w:rsidRPr="0044670F">
        <w:rPr>
          <w:lang w:eastAsia="en-US"/>
        </w:rPr>
        <w:t xml:space="preserve"> les ménages </w:t>
      </w:r>
      <w:r>
        <w:rPr>
          <w:lang w:eastAsia="en-US"/>
        </w:rPr>
        <w:t xml:space="preserve">ont </w:t>
      </w:r>
      <w:r w:rsidR="00117C89">
        <w:rPr>
          <w:lang w:eastAsia="en-US"/>
        </w:rPr>
        <w:t xml:space="preserve">effectués des </w:t>
      </w:r>
      <w:r w:rsidRPr="0044670F">
        <w:rPr>
          <w:lang w:eastAsia="en-US"/>
        </w:rPr>
        <w:t>dépenses de santé en 201</w:t>
      </w:r>
      <w:r>
        <w:rPr>
          <w:lang w:eastAsia="en-US"/>
        </w:rPr>
        <w:t>4 à hauteur de 189,03</w:t>
      </w:r>
      <w:r w:rsidR="007D5CBE">
        <w:rPr>
          <w:lang w:eastAsia="en-US"/>
        </w:rPr>
        <w:t>4</w:t>
      </w:r>
      <w:r>
        <w:rPr>
          <w:lang w:eastAsia="en-US"/>
        </w:rPr>
        <w:t xml:space="preserve"> milliards de FCFA</w:t>
      </w:r>
      <w:r w:rsidRPr="0044670F">
        <w:rPr>
          <w:lang w:eastAsia="en-US"/>
        </w:rPr>
        <w:t xml:space="preserve">, soit </w:t>
      </w:r>
      <w:r>
        <w:rPr>
          <w:lang w:eastAsia="en-US"/>
        </w:rPr>
        <w:t>47</w:t>
      </w:r>
      <w:r w:rsidRPr="0044670F">
        <w:rPr>
          <w:lang w:eastAsia="en-US"/>
        </w:rPr>
        <w:t>,</w:t>
      </w:r>
      <w:r w:rsidR="007D5CBE">
        <w:rPr>
          <w:lang w:eastAsia="en-US"/>
        </w:rPr>
        <w:t>10</w:t>
      </w:r>
      <w:r w:rsidRPr="0044670F">
        <w:rPr>
          <w:lang w:eastAsia="en-US"/>
        </w:rPr>
        <w:t>% du total</w:t>
      </w:r>
      <w:r w:rsidR="00144DF7">
        <w:rPr>
          <w:lang w:eastAsia="en-US"/>
        </w:rPr>
        <w:t xml:space="preserve"> des dépenses courantes</w:t>
      </w:r>
      <w:r w:rsidRPr="0044670F">
        <w:rPr>
          <w:lang w:eastAsia="en-US"/>
        </w:rPr>
        <w:t>. Cette situation est</w:t>
      </w:r>
      <w:r>
        <w:rPr>
          <w:lang w:eastAsia="en-US"/>
        </w:rPr>
        <w:t xml:space="preserve"> en baisse par rapport à 2013, mais n’est pas toujours reluisante.</w:t>
      </w:r>
      <w:r w:rsidR="009721AB">
        <w:rPr>
          <w:lang w:eastAsia="en-US"/>
        </w:rPr>
        <w:t xml:space="preserve"> </w:t>
      </w:r>
      <w:r>
        <w:rPr>
          <w:lang w:eastAsia="en-US"/>
        </w:rPr>
        <w:t>L</w:t>
      </w:r>
      <w:r w:rsidRPr="0044670F">
        <w:rPr>
          <w:lang w:eastAsia="en-US"/>
        </w:rPr>
        <w:t xml:space="preserve">a performance d’un système de santé doit résider dans sa capacité à rendre les soins accessibles à tous, notamment aux plus démunis, à alléger </w:t>
      </w:r>
      <w:r>
        <w:rPr>
          <w:lang w:eastAsia="en-US"/>
        </w:rPr>
        <w:t>d</w:t>
      </w:r>
      <w:r w:rsidRPr="0044670F">
        <w:rPr>
          <w:lang w:eastAsia="en-US"/>
        </w:rPr>
        <w:t>avantage le fardeau économique de la s</w:t>
      </w:r>
      <w:r>
        <w:rPr>
          <w:lang w:eastAsia="en-US"/>
        </w:rPr>
        <w:t xml:space="preserve">anté supporté par les ménages. </w:t>
      </w:r>
    </w:p>
    <w:p w:rsidR="000A0DE5" w:rsidRPr="0044670F" w:rsidRDefault="000A0DE5" w:rsidP="000A0DE5">
      <w:pPr>
        <w:spacing w:line="312" w:lineRule="auto"/>
        <w:rPr>
          <w:lang w:eastAsia="en-US"/>
        </w:rPr>
      </w:pPr>
      <w:r w:rsidRPr="0044670F">
        <w:rPr>
          <w:lang w:eastAsia="en-US"/>
        </w:rPr>
        <w:t>Ensuite viennent les régimes volontaires de paiement</w:t>
      </w:r>
      <w:r w:rsidR="00741914">
        <w:rPr>
          <w:lang w:eastAsia="en-US"/>
        </w:rPr>
        <w:t xml:space="preserve"> privé des soins de santé avec </w:t>
      </w:r>
      <w:r w:rsidR="007D5CBE">
        <w:rPr>
          <w:lang w:eastAsia="en-US"/>
        </w:rPr>
        <w:t>27</w:t>
      </w:r>
      <w:r>
        <w:rPr>
          <w:lang w:eastAsia="en-US"/>
        </w:rPr>
        <w:t>,</w:t>
      </w:r>
      <w:r w:rsidR="00402F3C">
        <w:rPr>
          <w:lang w:eastAsia="en-US"/>
        </w:rPr>
        <w:t>40</w:t>
      </w:r>
      <w:r w:rsidRPr="0044670F">
        <w:rPr>
          <w:lang w:eastAsia="en-US"/>
        </w:rPr>
        <w:t xml:space="preserve">%. </w:t>
      </w:r>
      <w:r>
        <w:rPr>
          <w:lang w:eastAsia="en-US"/>
        </w:rPr>
        <w:t>La</w:t>
      </w:r>
      <w:r w:rsidRPr="0044670F">
        <w:rPr>
          <w:lang w:eastAsia="en-US"/>
        </w:rPr>
        <w:t xml:space="preserve"> part des Institutions Sans But Lucratif au service des Ménages (ISBLM), </w:t>
      </w:r>
      <w:r>
        <w:rPr>
          <w:lang w:eastAsia="en-US"/>
        </w:rPr>
        <w:t xml:space="preserve">des </w:t>
      </w:r>
      <w:r w:rsidRPr="0044670F">
        <w:rPr>
          <w:lang w:eastAsia="en-US"/>
        </w:rPr>
        <w:t xml:space="preserve">agences de développement et </w:t>
      </w:r>
      <w:r>
        <w:rPr>
          <w:lang w:eastAsia="en-US"/>
        </w:rPr>
        <w:t>d</w:t>
      </w:r>
      <w:r w:rsidRPr="0044670F">
        <w:rPr>
          <w:lang w:eastAsia="en-US"/>
        </w:rPr>
        <w:t xml:space="preserve">es ONG </w:t>
      </w:r>
      <w:r>
        <w:rPr>
          <w:lang w:eastAsia="en-US"/>
        </w:rPr>
        <w:t xml:space="preserve"> est importante dans le financement de la santé</w:t>
      </w:r>
      <w:r w:rsidRPr="0044670F">
        <w:rPr>
          <w:lang w:eastAsia="en-US"/>
        </w:rPr>
        <w:t xml:space="preserve">. </w:t>
      </w:r>
    </w:p>
    <w:p w:rsidR="007C1DB3" w:rsidRPr="0044670F" w:rsidRDefault="000A0DE5" w:rsidP="000A0DE5">
      <w:pPr>
        <w:spacing w:line="312" w:lineRule="auto"/>
        <w:rPr>
          <w:lang w:eastAsia="en-US"/>
        </w:rPr>
      </w:pPr>
      <w:r w:rsidRPr="0044670F">
        <w:rPr>
          <w:lang w:eastAsia="en-US"/>
        </w:rPr>
        <w:t xml:space="preserve">Les régimes de l’administration publique et les régimes contributifs obligatoires de financement n’ont permis de mobiliser que </w:t>
      </w:r>
      <w:r w:rsidR="007D5CBE">
        <w:rPr>
          <w:lang w:eastAsia="en-US"/>
        </w:rPr>
        <w:t>25</w:t>
      </w:r>
      <w:r>
        <w:rPr>
          <w:lang w:eastAsia="en-US"/>
        </w:rPr>
        <w:t>,</w:t>
      </w:r>
      <w:r w:rsidR="00402F3C">
        <w:rPr>
          <w:lang w:eastAsia="en-US"/>
        </w:rPr>
        <w:t>50</w:t>
      </w:r>
      <w:r>
        <w:rPr>
          <w:lang w:eastAsia="en-US"/>
        </w:rPr>
        <w:t>%</w:t>
      </w:r>
      <w:r w:rsidRPr="0044670F">
        <w:rPr>
          <w:lang w:eastAsia="en-US"/>
        </w:rPr>
        <w:t xml:space="preserve"> des dépenses de santé. C</w:t>
      </w:r>
      <w:r>
        <w:rPr>
          <w:lang w:eastAsia="en-US"/>
        </w:rPr>
        <w:t xml:space="preserve">ette </w:t>
      </w:r>
      <w:r w:rsidRPr="0044670F">
        <w:rPr>
          <w:lang w:eastAsia="en-US"/>
        </w:rPr>
        <w:t xml:space="preserve">situation </w:t>
      </w:r>
      <w:r>
        <w:rPr>
          <w:lang w:eastAsia="en-US"/>
        </w:rPr>
        <w:t>prouve qu’il reste beaucoup à faire dans la mise en œuvre de la Couverture M</w:t>
      </w:r>
      <w:r w:rsidRPr="0044670F">
        <w:rPr>
          <w:lang w:eastAsia="en-US"/>
        </w:rPr>
        <w:t xml:space="preserve">aladie </w:t>
      </w:r>
      <w:r>
        <w:rPr>
          <w:lang w:eastAsia="en-US"/>
        </w:rPr>
        <w:t>U</w:t>
      </w:r>
      <w:r w:rsidRPr="0044670F">
        <w:rPr>
          <w:lang w:eastAsia="en-US"/>
        </w:rPr>
        <w:t>niverselle</w:t>
      </w:r>
      <w:r>
        <w:rPr>
          <w:lang w:eastAsia="en-US"/>
        </w:rPr>
        <w:t>.</w:t>
      </w:r>
      <w:r w:rsidRPr="0044670F">
        <w:rPr>
          <w:lang w:eastAsia="en-US"/>
        </w:rPr>
        <w:t xml:space="preserve"> La contribution de l’Assurance Maladie Obligatoire (AMO) au financement de la santé </w:t>
      </w:r>
      <w:r>
        <w:rPr>
          <w:lang w:eastAsia="en-US"/>
        </w:rPr>
        <w:t xml:space="preserve">a augmenté </w:t>
      </w:r>
      <w:r w:rsidRPr="0044670F">
        <w:rPr>
          <w:lang w:eastAsia="en-US"/>
        </w:rPr>
        <w:t>en</w:t>
      </w:r>
      <w:r>
        <w:rPr>
          <w:lang w:eastAsia="en-US"/>
        </w:rPr>
        <w:t>tre</w:t>
      </w:r>
      <w:r w:rsidRPr="0044670F">
        <w:rPr>
          <w:lang w:eastAsia="en-US"/>
        </w:rPr>
        <w:t xml:space="preserve"> 201</w:t>
      </w:r>
      <w:r>
        <w:rPr>
          <w:lang w:eastAsia="en-US"/>
        </w:rPr>
        <w:t>3 et 2014 passant de 1,45à 3,</w:t>
      </w:r>
      <w:r w:rsidR="007D5CBE">
        <w:rPr>
          <w:lang w:eastAsia="en-US"/>
        </w:rPr>
        <w:t>07</w:t>
      </w:r>
      <w:r w:rsidRPr="0044670F">
        <w:rPr>
          <w:lang w:eastAsia="en-US"/>
        </w:rPr>
        <w:t>% des dépenses courantes de santé</w:t>
      </w:r>
      <w:r>
        <w:rPr>
          <w:lang w:eastAsia="en-US"/>
        </w:rPr>
        <w:t>.</w:t>
      </w:r>
      <w:r w:rsidRPr="0044670F">
        <w:rPr>
          <w:lang w:eastAsia="en-US"/>
        </w:rPr>
        <w:t xml:space="preserve"> .</w:t>
      </w:r>
    </w:p>
    <w:p w:rsidR="000A0DE5" w:rsidRPr="0044670F" w:rsidRDefault="000A0DE5" w:rsidP="00C63457">
      <w:pPr>
        <w:pStyle w:val="Titre4"/>
        <w:numPr>
          <w:ilvl w:val="3"/>
          <w:numId w:val="37"/>
        </w:numPr>
        <w:autoSpaceDE/>
        <w:autoSpaceDN/>
        <w:adjustRightInd/>
        <w:spacing w:line="240" w:lineRule="auto"/>
        <w:jc w:val="left"/>
      </w:pPr>
      <w:r>
        <w:t>R</w:t>
      </w:r>
      <w:r w:rsidRPr="0044670F">
        <w:t>ecettes ou revenus des rég</w:t>
      </w:r>
      <w:r>
        <w:t>imes de financement de la santé</w:t>
      </w:r>
    </w:p>
    <w:p w:rsidR="000A0DE5" w:rsidRPr="0044670F" w:rsidRDefault="000A0DE5" w:rsidP="000A0DE5">
      <w:pPr>
        <w:spacing w:line="312" w:lineRule="auto"/>
        <w:rPr>
          <w:lang w:eastAsia="en-US"/>
        </w:rPr>
      </w:pPr>
      <w:r w:rsidRPr="0044670F">
        <w:rPr>
          <w:lang w:eastAsia="en-US"/>
        </w:rPr>
        <w:t>En 201</w:t>
      </w:r>
      <w:r>
        <w:rPr>
          <w:lang w:eastAsia="en-US"/>
        </w:rPr>
        <w:t>4</w:t>
      </w:r>
      <w:r w:rsidRPr="0044670F">
        <w:rPr>
          <w:lang w:eastAsia="en-US"/>
        </w:rPr>
        <w:t>, les différents revenus des régimes de financement des soins de santé sont</w:t>
      </w:r>
      <w:r>
        <w:rPr>
          <w:lang w:eastAsia="en-US"/>
        </w:rPr>
        <w:t xml:space="preserve"> récapitulés dans le tableau 3.3.</w:t>
      </w:r>
    </w:p>
    <w:p w:rsidR="003501AE" w:rsidRPr="00741914" w:rsidRDefault="003501AE" w:rsidP="00741914">
      <w:pPr>
        <w:autoSpaceDE/>
        <w:autoSpaceDN/>
        <w:adjustRightInd/>
        <w:spacing w:after="200" w:line="276" w:lineRule="auto"/>
        <w:jc w:val="left"/>
        <w:rPr>
          <w:i/>
          <w:iCs/>
          <w:color w:val="000000" w:themeColor="text1"/>
          <w:sz w:val="22"/>
          <w:szCs w:val="22"/>
        </w:rPr>
      </w:pPr>
      <w:r w:rsidRPr="00F30806">
        <w:rPr>
          <w:i/>
          <w:sz w:val="22"/>
          <w:szCs w:val="22"/>
        </w:rPr>
        <w:t>Tableau 3.1.3: Récapitulatif des recettes des régimes de financement en 2014 (en  Million CFA Francs)</w:t>
      </w:r>
    </w:p>
    <w:tbl>
      <w:tblPr>
        <w:tblW w:w="8480" w:type="dxa"/>
        <w:tblCellMar>
          <w:left w:w="70" w:type="dxa"/>
          <w:right w:w="70" w:type="dxa"/>
        </w:tblCellMar>
        <w:tblLook w:val="04A0"/>
      </w:tblPr>
      <w:tblGrid>
        <w:gridCol w:w="2140"/>
        <w:gridCol w:w="2560"/>
        <w:gridCol w:w="1390"/>
        <w:gridCol w:w="1390"/>
        <w:gridCol w:w="1000"/>
      </w:tblGrid>
      <w:tr w:rsidR="00C85383" w:rsidRPr="00C85383" w:rsidTr="00F30806">
        <w:trPr>
          <w:trHeight w:val="300"/>
          <w:tblHeader/>
        </w:trPr>
        <w:tc>
          <w:tcPr>
            <w:tcW w:w="4700" w:type="dxa"/>
            <w:gridSpan w:val="2"/>
            <w:tcBorders>
              <w:top w:val="single" w:sz="8" w:space="0" w:color="auto"/>
              <w:left w:val="single" w:sz="8" w:space="0" w:color="auto"/>
              <w:bottom w:val="single" w:sz="4" w:space="0" w:color="auto"/>
              <w:right w:val="single" w:sz="4" w:space="0" w:color="auto"/>
            </w:tcBorders>
            <w:shd w:val="clear" w:color="000000" w:fill="A5A5A5"/>
            <w:vAlign w:val="center"/>
            <w:hideMark/>
          </w:tcPr>
          <w:p w:rsidR="00C85383" w:rsidRPr="00F30806" w:rsidRDefault="00C85383" w:rsidP="00F30806">
            <w:pPr>
              <w:autoSpaceDE/>
              <w:autoSpaceDN/>
              <w:adjustRightInd/>
              <w:spacing w:after="0" w:line="240" w:lineRule="auto"/>
              <w:jc w:val="center"/>
              <w:rPr>
                <w:rFonts w:eastAsia="Times New Roman"/>
                <w:b/>
                <w:sz w:val="20"/>
                <w:szCs w:val="20"/>
                <w:lang w:eastAsia="fr-FR"/>
              </w:rPr>
            </w:pPr>
            <w:r w:rsidRPr="00F30806">
              <w:rPr>
                <w:rFonts w:eastAsia="Times New Roman"/>
                <w:b/>
                <w:sz w:val="20"/>
                <w:szCs w:val="20"/>
                <w:lang w:eastAsia="fr-FR"/>
              </w:rPr>
              <w:t>Recettes des régimes de financement des soins de santé</w:t>
            </w:r>
          </w:p>
        </w:tc>
        <w:tc>
          <w:tcPr>
            <w:tcW w:w="2780" w:type="dxa"/>
            <w:gridSpan w:val="2"/>
            <w:tcBorders>
              <w:top w:val="single" w:sz="8" w:space="0" w:color="auto"/>
              <w:left w:val="nil"/>
              <w:bottom w:val="single" w:sz="4" w:space="0" w:color="auto"/>
              <w:right w:val="single" w:sz="4" w:space="0" w:color="auto"/>
            </w:tcBorders>
            <w:shd w:val="clear" w:color="000000" w:fill="A5A5A5"/>
            <w:noWrap/>
            <w:vAlign w:val="center"/>
            <w:hideMark/>
          </w:tcPr>
          <w:p w:rsidR="00C85383" w:rsidRPr="00F30806" w:rsidRDefault="00C85383" w:rsidP="00F30806">
            <w:pPr>
              <w:autoSpaceDE/>
              <w:autoSpaceDN/>
              <w:adjustRightInd/>
              <w:spacing w:after="0" w:line="240" w:lineRule="auto"/>
              <w:jc w:val="center"/>
              <w:rPr>
                <w:rFonts w:eastAsia="Times New Roman"/>
                <w:b/>
                <w:sz w:val="20"/>
                <w:szCs w:val="20"/>
                <w:lang w:eastAsia="fr-FR"/>
              </w:rPr>
            </w:pPr>
            <w:r w:rsidRPr="00F30806">
              <w:rPr>
                <w:rFonts w:eastAsia="Times New Roman"/>
                <w:b/>
                <w:sz w:val="20"/>
                <w:szCs w:val="20"/>
                <w:lang w:eastAsia="fr-FR"/>
              </w:rPr>
              <w:t>Montant</w:t>
            </w:r>
          </w:p>
        </w:tc>
        <w:tc>
          <w:tcPr>
            <w:tcW w:w="1000" w:type="dxa"/>
            <w:tcBorders>
              <w:top w:val="single" w:sz="8" w:space="0" w:color="auto"/>
              <w:left w:val="nil"/>
              <w:bottom w:val="single" w:sz="4" w:space="0" w:color="auto"/>
              <w:right w:val="single" w:sz="8" w:space="0" w:color="auto"/>
            </w:tcBorders>
            <w:shd w:val="clear" w:color="000000" w:fill="A5A5A5"/>
            <w:noWrap/>
            <w:vAlign w:val="center"/>
            <w:hideMark/>
          </w:tcPr>
          <w:p w:rsidR="00C85383" w:rsidRPr="00F30806" w:rsidRDefault="00C85383" w:rsidP="00F30806">
            <w:pPr>
              <w:autoSpaceDE/>
              <w:autoSpaceDN/>
              <w:adjustRightInd/>
              <w:spacing w:after="0" w:line="240" w:lineRule="auto"/>
              <w:jc w:val="center"/>
              <w:rPr>
                <w:rFonts w:eastAsia="Times New Roman"/>
                <w:b/>
                <w:sz w:val="20"/>
                <w:szCs w:val="20"/>
                <w:lang w:eastAsia="fr-FR"/>
              </w:rPr>
            </w:pPr>
            <w:r w:rsidRPr="00F30806">
              <w:rPr>
                <w:rFonts w:eastAsia="Times New Roman"/>
                <w:b/>
                <w:sz w:val="20"/>
                <w:szCs w:val="20"/>
                <w:lang w:eastAsia="fr-FR"/>
              </w:rPr>
              <w:t>%</w:t>
            </w:r>
          </w:p>
        </w:tc>
      </w:tr>
      <w:tr w:rsidR="00C85383" w:rsidRPr="00C85383" w:rsidTr="00C85383">
        <w:trPr>
          <w:trHeight w:val="510"/>
        </w:trPr>
        <w:tc>
          <w:tcPr>
            <w:tcW w:w="2140" w:type="dxa"/>
            <w:vMerge w:val="restart"/>
            <w:tcBorders>
              <w:top w:val="nil"/>
              <w:left w:val="single" w:sz="8" w:space="0" w:color="auto"/>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r w:rsidRPr="00C85383">
              <w:rPr>
                <w:rFonts w:eastAsia="Times New Roman"/>
                <w:b/>
                <w:color w:val="auto"/>
                <w:sz w:val="22"/>
                <w:szCs w:val="22"/>
                <w:lang w:eastAsia="fr-FR"/>
              </w:rPr>
              <w:t>Transferts issus des revenus nationaux de l'administration publique (alloués à la santé)</w:t>
            </w: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Transferts internes et allocations</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color w:val="auto"/>
                <w:sz w:val="20"/>
                <w:szCs w:val="20"/>
                <w:lang w:eastAsia="fr-FR"/>
              </w:rPr>
            </w:pPr>
            <w:r w:rsidRPr="00C85383">
              <w:rPr>
                <w:rFonts w:eastAsia="Times New Roman"/>
                <w:bCs w:val="0"/>
                <w:color w:val="auto"/>
                <w:sz w:val="20"/>
                <w:szCs w:val="20"/>
                <w:lang w:eastAsia="fr-FR"/>
              </w:rPr>
              <w:t>45 003,09</w:t>
            </w:r>
          </w:p>
        </w:tc>
        <w:tc>
          <w:tcPr>
            <w:tcW w:w="13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center"/>
              <w:rPr>
                <w:rFonts w:eastAsia="Times New Roman"/>
                <w:bCs w:val="0"/>
                <w:color w:val="auto"/>
                <w:sz w:val="20"/>
                <w:szCs w:val="20"/>
                <w:lang w:eastAsia="fr-FR"/>
              </w:rPr>
            </w:pPr>
            <w:r w:rsidRPr="00C85383">
              <w:rPr>
                <w:rFonts w:eastAsia="Times New Roman"/>
                <w:bCs w:val="0"/>
                <w:color w:val="auto"/>
                <w:sz w:val="20"/>
                <w:szCs w:val="20"/>
                <w:lang w:eastAsia="fr-FR"/>
              </w:rPr>
              <w:t>50 966,01</w:t>
            </w:r>
          </w:p>
        </w:tc>
        <w:tc>
          <w:tcPr>
            <w:tcW w:w="10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C85383" w:rsidRPr="00C85383" w:rsidRDefault="00C85383" w:rsidP="003F3BEF">
            <w:pPr>
              <w:autoSpaceDE/>
              <w:autoSpaceDN/>
              <w:adjustRightInd/>
              <w:spacing w:after="0" w:line="240" w:lineRule="auto"/>
              <w:jc w:val="center"/>
              <w:rPr>
                <w:rFonts w:eastAsia="Times New Roman"/>
                <w:bCs w:val="0"/>
                <w:sz w:val="20"/>
                <w:szCs w:val="20"/>
                <w:lang w:eastAsia="fr-FR"/>
              </w:rPr>
            </w:pPr>
            <w:r w:rsidRPr="00C85383">
              <w:rPr>
                <w:rFonts w:eastAsia="Times New Roman"/>
                <w:bCs w:val="0"/>
                <w:sz w:val="20"/>
                <w:szCs w:val="20"/>
                <w:lang w:eastAsia="fr-FR"/>
              </w:rPr>
              <w:t>12,</w:t>
            </w:r>
            <w:r w:rsidR="003F3BEF">
              <w:rPr>
                <w:rFonts w:eastAsia="Times New Roman"/>
                <w:bCs w:val="0"/>
                <w:sz w:val="20"/>
                <w:szCs w:val="20"/>
                <w:lang w:eastAsia="fr-FR"/>
              </w:rPr>
              <w:t>70</w:t>
            </w:r>
          </w:p>
        </w:tc>
      </w:tr>
      <w:tr w:rsidR="00C85383" w:rsidRPr="00C85383" w:rsidTr="00C85383">
        <w:trPr>
          <w:trHeight w:val="765"/>
        </w:trPr>
        <w:tc>
          <w:tcPr>
            <w:tcW w:w="2140" w:type="dxa"/>
            <w:vMerge/>
            <w:tcBorders>
              <w:top w:val="nil"/>
              <w:left w:val="single" w:sz="8" w:space="0" w:color="auto"/>
              <w:bottom w:val="single" w:sz="4" w:space="0" w:color="auto"/>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Transferts par l'administration publique pour le compte de groupes particuliers</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color w:val="auto"/>
                <w:sz w:val="20"/>
                <w:szCs w:val="20"/>
                <w:lang w:eastAsia="fr-FR"/>
              </w:rPr>
            </w:pPr>
            <w:r w:rsidRPr="00C85383">
              <w:rPr>
                <w:rFonts w:eastAsia="Times New Roman"/>
                <w:bCs w:val="0"/>
                <w:color w:val="auto"/>
                <w:sz w:val="20"/>
                <w:szCs w:val="20"/>
                <w:lang w:eastAsia="fr-FR"/>
              </w:rPr>
              <w:t>5 773,32</w:t>
            </w:r>
          </w:p>
        </w:tc>
        <w:tc>
          <w:tcPr>
            <w:tcW w:w="1390" w:type="dxa"/>
            <w:vMerge/>
            <w:tcBorders>
              <w:top w:val="nil"/>
              <w:left w:val="single" w:sz="4" w:space="0" w:color="auto"/>
              <w:bottom w:val="single" w:sz="4" w:space="0" w:color="000000"/>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p>
        </w:tc>
        <w:tc>
          <w:tcPr>
            <w:tcW w:w="1000" w:type="dxa"/>
            <w:vMerge/>
            <w:tcBorders>
              <w:top w:val="nil"/>
              <w:left w:val="single" w:sz="4" w:space="0" w:color="auto"/>
              <w:bottom w:val="single" w:sz="4" w:space="0" w:color="000000"/>
              <w:right w:val="single" w:sz="8"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r>
      <w:tr w:rsidR="00C85383" w:rsidRPr="00C85383" w:rsidTr="00C85383">
        <w:trPr>
          <w:trHeight w:val="300"/>
        </w:trPr>
        <w:tc>
          <w:tcPr>
            <w:tcW w:w="2140" w:type="dxa"/>
            <w:vMerge/>
            <w:tcBorders>
              <w:top w:val="nil"/>
              <w:left w:val="single" w:sz="8" w:space="0" w:color="auto"/>
              <w:bottom w:val="single" w:sz="4" w:space="0" w:color="auto"/>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Subventions</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color w:val="auto"/>
                <w:sz w:val="20"/>
                <w:szCs w:val="20"/>
                <w:lang w:eastAsia="fr-FR"/>
              </w:rPr>
            </w:pPr>
            <w:r w:rsidRPr="00C85383">
              <w:rPr>
                <w:rFonts w:eastAsia="Times New Roman"/>
                <w:bCs w:val="0"/>
                <w:color w:val="auto"/>
                <w:sz w:val="20"/>
                <w:szCs w:val="20"/>
                <w:lang w:eastAsia="fr-FR"/>
              </w:rPr>
              <w:t>189,61</w:t>
            </w:r>
          </w:p>
        </w:tc>
        <w:tc>
          <w:tcPr>
            <w:tcW w:w="1390" w:type="dxa"/>
            <w:vMerge/>
            <w:tcBorders>
              <w:top w:val="nil"/>
              <w:left w:val="single" w:sz="4" w:space="0" w:color="auto"/>
              <w:bottom w:val="single" w:sz="4" w:space="0" w:color="000000"/>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p>
        </w:tc>
        <w:tc>
          <w:tcPr>
            <w:tcW w:w="1000" w:type="dxa"/>
            <w:vMerge/>
            <w:tcBorders>
              <w:top w:val="nil"/>
              <w:left w:val="single" w:sz="4" w:space="0" w:color="auto"/>
              <w:bottom w:val="single" w:sz="4" w:space="0" w:color="000000"/>
              <w:right w:val="single" w:sz="8"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r>
      <w:tr w:rsidR="00C85383" w:rsidRPr="00C85383" w:rsidTr="00C85383">
        <w:trPr>
          <w:trHeight w:val="510"/>
        </w:trPr>
        <w:tc>
          <w:tcPr>
            <w:tcW w:w="2140" w:type="dxa"/>
            <w:vMerge w:val="restart"/>
            <w:tcBorders>
              <w:top w:val="nil"/>
              <w:left w:val="single" w:sz="8" w:space="0" w:color="auto"/>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r w:rsidRPr="00C85383">
              <w:rPr>
                <w:rFonts w:eastAsia="Times New Roman"/>
                <w:b/>
                <w:color w:val="auto"/>
                <w:sz w:val="22"/>
                <w:szCs w:val="22"/>
                <w:lang w:eastAsia="fr-FR"/>
              </w:rPr>
              <w:t>Transferts d'origine étrangère distribués par l'administration publique</w:t>
            </w: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Appui budgétaire sectoriel (ABS)</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A7614C" w:rsidP="00A7614C">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 xml:space="preserve">6821,77 </w:t>
            </w:r>
          </w:p>
        </w:tc>
        <w:tc>
          <w:tcPr>
            <w:tcW w:w="13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83" w:rsidRPr="00C85383" w:rsidRDefault="000E3B04" w:rsidP="00C85383">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39231</w:t>
            </w:r>
            <w:r w:rsidR="00A7614C">
              <w:rPr>
                <w:rFonts w:eastAsia="Times New Roman"/>
                <w:bCs w:val="0"/>
                <w:sz w:val="20"/>
                <w:szCs w:val="20"/>
                <w:lang w:eastAsia="fr-FR"/>
              </w:rPr>
              <w:t>,61</w:t>
            </w:r>
          </w:p>
        </w:tc>
        <w:tc>
          <w:tcPr>
            <w:tcW w:w="10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C85383" w:rsidRPr="00C85383" w:rsidRDefault="00272D6D" w:rsidP="003F3BEF">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9,7</w:t>
            </w:r>
            <w:r w:rsidR="003F3BEF">
              <w:rPr>
                <w:rFonts w:eastAsia="Times New Roman"/>
                <w:bCs w:val="0"/>
                <w:sz w:val="20"/>
                <w:szCs w:val="20"/>
                <w:lang w:eastAsia="fr-FR"/>
              </w:rPr>
              <w:t>8</w:t>
            </w:r>
          </w:p>
        </w:tc>
      </w:tr>
      <w:tr w:rsidR="00C85383" w:rsidRPr="00C85383" w:rsidTr="00C85383">
        <w:trPr>
          <w:trHeight w:val="300"/>
        </w:trPr>
        <w:tc>
          <w:tcPr>
            <w:tcW w:w="2140" w:type="dxa"/>
            <w:vMerge/>
            <w:tcBorders>
              <w:top w:val="nil"/>
              <w:left w:val="single" w:sz="8" w:space="0" w:color="auto"/>
              <w:bottom w:val="single" w:sz="4" w:space="0" w:color="auto"/>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Appui par programme/projet</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A7614C" w:rsidP="00C8538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32409,83</w:t>
            </w:r>
          </w:p>
        </w:tc>
        <w:tc>
          <w:tcPr>
            <w:tcW w:w="1390" w:type="dxa"/>
            <w:vMerge/>
            <w:tcBorders>
              <w:top w:val="nil"/>
              <w:left w:val="single" w:sz="4" w:space="0" w:color="auto"/>
              <w:bottom w:val="single" w:sz="4" w:space="0" w:color="000000"/>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c>
          <w:tcPr>
            <w:tcW w:w="1000" w:type="dxa"/>
            <w:vMerge/>
            <w:tcBorders>
              <w:top w:val="nil"/>
              <w:left w:val="single" w:sz="4" w:space="0" w:color="auto"/>
              <w:bottom w:val="single" w:sz="4" w:space="0" w:color="000000"/>
              <w:right w:val="single" w:sz="8"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r>
      <w:tr w:rsidR="00C85383" w:rsidRPr="00C85383" w:rsidTr="00C85383">
        <w:trPr>
          <w:trHeight w:val="510"/>
        </w:trPr>
        <w:tc>
          <w:tcPr>
            <w:tcW w:w="2140" w:type="dxa"/>
            <w:vMerge w:val="restart"/>
            <w:tcBorders>
              <w:top w:val="nil"/>
              <w:left w:val="single" w:sz="8" w:space="0" w:color="auto"/>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r w:rsidRPr="00C85383">
              <w:rPr>
                <w:rFonts w:eastAsia="Times New Roman"/>
                <w:b/>
                <w:color w:val="auto"/>
                <w:sz w:val="22"/>
                <w:szCs w:val="22"/>
                <w:lang w:eastAsia="fr-FR"/>
              </w:rPr>
              <w:t>Cotisations d'assurance sociale</w:t>
            </w: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 xml:space="preserve">Cotisations d'assurance sociale venant des employés </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color w:val="auto"/>
                <w:sz w:val="20"/>
                <w:szCs w:val="20"/>
                <w:lang w:eastAsia="fr-FR"/>
              </w:rPr>
            </w:pPr>
            <w:r w:rsidRPr="00C85383">
              <w:rPr>
                <w:rFonts w:eastAsia="Times New Roman"/>
                <w:bCs w:val="0"/>
                <w:color w:val="auto"/>
                <w:sz w:val="20"/>
                <w:szCs w:val="20"/>
                <w:lang w:eastAsia="fr-FR"/>
              </w:rPr>
              <w:t>5 196,18</w:t>
            </w:r>
          </w:p>
        </w:tc>
        <w:tc>
          <w:tcPr>
            <w:tcW w:w="13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center"/>
              <w:rPr>
                <w:rFonts w:eastAsia="Times New Roman"/>
                <w:bCs w:val="0"/>
                <w:sz w:val="20"/>
                <w:szCs w:val="20"/>
                <w:lang w:eastAsia="fr-FR"/>
              </w:rPr>
            </w:pPr>
            <w:r w:rsidRPr="00C85383">
              <w:rPr>
                <w:rFonts w:eastAsia="Times New Roman"/>
                <w:bCs w:val="0"/>
                <w:sz w:val="20"/>
                <w:szCs w:val="20"/>
                <w:lang w:eastAsia="fr-FR"/>
              </w:rPr>
              <w:t>12 241,09</w:t>
            </w:r>
          </w:p>
        </w:tc>
        <w:tc>
          <w:tcPr>
            <w:tcW w:w="10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C85383" w:rsidRPr="00C85383" w:rsidRDefault="00C85383" w:rsidP="00C85383">
            <w:pPr>
              <w:autoSpaceDE/>
              <w:autoSpaceDN/>
              <w:adjustRightInd/>
              <w:spacing w:after="0" w:line="240" w:lineRule="auto"/>
              <w:jc w:val="center"/>
              <w:rPr>
                <w:rFonts w:eastAsia="Times New Roman"/>
                <w:bCs w:val="0"/>
                <w:sz w:val="20"/>
                <w:szCs w:val="20"/>
                <w:lang w:eastAsia="fr-FR"/>
              </w:rPr>
            </w:pPr>
            <w:r w:rsidRPr="00C85383">
              <w:rPr>
                <w:rFonts w:eastAsia="Times New Roman"/>
                <w:bCs w:val="0"/>
                <w:sz w:val="20"/>
                <w:szCs w:val="20"/>
                <w:lang w:eastAsia="fr-FR"/>
              </w:rPr>
              <w:t>3,05</w:t>
            </w:r>
          </w:p>
        </w:tc>
      </w:tr>
      <w:tr w:rsidR="00C85383" w:rsidRPr="00C85383" w:rsidTr="00C85383">
        <w:trPr>
          <w:trHeight w:val="765"/>
        </w:trPr>
        <w:tc>
          <w:tcPr>
            <w:tcW w:w="2140" w:type="dxa"/>
            <w:vMerge/>
            <w:tcBorders>
              <w:top w:val="nil"/>
              <w:left w:val="single" w:sz="8" w:space="0" w:color="auto"/>
              <w:bottom w:val="single" w:sz="4" w:space="0" w:color="auto"/>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Cotisations d'assurance sociale venant des employeurs</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color w:val="auto"/>
                <w:sz w:val="20"/>
                <w:szCs w:val="20"/>
                <w:lang w:eastAsia="fr-FR"/>
              </w:rPr>
            </w:pPr>
            <w:r w:rsidRPr="00C85383">
              <w:rPr>
                <w:rFonts w:eastAsia="Times New Roman"/>
                <w:bCs w:val="0"/>
                <w:color w:val="auto"/>
                <w:sz w:val="20"/>
                <w:szCs w:val="20"/>
                <w:lang w:eastAsia="fr-FR"/>
              </w:rPr>
              <w:t>7 044,91</w:t>
            </w:r>
          </w:p>
        </w:tc>
        <w:tc>
          <w:tcPr>
            <w:tcW w:w="1390" w:type="dxa"/>
            <w:vMerge/>
            <w:tcBorders>
              <w:top w:val="nil"/>
              <w:left w:val="single" w:sz="4" w:space="0" w:color="auto"/>
              <w:bottom w:val="single" w:sz="4" w:space="0" w:color="000000"/>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c>
          <w:tcPr>
            <w:tcW w:w="1000" w:type="dxa"/>
            <w:vMerge/>
            <w:tcBorders>
              <w:top w:val="nil"/>
              <w:left w:val="single" w:sz="4" w:space="0" w:color="auto"/>
              <w:bottom w:val="single" w:sz="4" w:space="0" w:color="000000"/>
              <w:right w:val="single" w:sz="8"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r>
      <w:tr w:rsidR="00C85383" w:rsidRPr="00C85383" w:rsidTr="00C85383">
        <w:trPr>
          <w:trHeight w:val="855"/>
        </w:trPr>
        <w:tc>
          <w:tcPr>
            <w:tcW w:w="2140" w:type="dxa"/>
            <w:tcBorders>
              <w:top w:val="nil"/>
              <w:left w:val="single" w:sz="8" w:space="0" w:color="auto"/>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r w:rsidRPr="00C85383">
              <w:rPr>
                <w:rFonts w:eastAsia="Times New Roman"/>
                <w:b/>
                <w:color w:val="auto"/>
                <w:sz w:val="22"/>
                <w:szCs w:val="22"/>
                <w:lang w:eastAsia="fr-FR"/>
              </w:rPr>
              <w:t>Prépaiement obligatoire (autres que FS.3)</w:t>
            </w: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Prépaiement obligatoire venant des employeurs</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color w:val="auto"/>
                <w:sz w:val="20"/>
                <w:szCs w:val="20"/>
                <w:lang w:eastAsia="fr-FR"/>
              </w:rPr>
            </w:pPr>
            <w:r w:rsidRPr="00C85383">
              <w:rPr>
                <w:rFonts w:eastAsia="Times New Roman"/>
                <w:bCs w:val="0"/>
                <w:color w:val="auto"/>
                <w:sz w:val="20"/>
                <w:szCs w:val="20"/>
                <w:lang w:eastAsia="fr-FR"/>
              </w:rPr>
              <w:t>8,41</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center"/>
              <w:rPr>
                <w:rFonts w:eastAsia="Times New Roman"/>
                <w:bCs w:val="0"/>
                <w:sz w:val="20"/>
                <w:szCs w:val="20"/>
                <w:lang w:eastAsia="fr-FR"/>
              </w:rPr>
            </w:pPr>
            <w:r w:rsidRPr="00C85383">
              <w:rPr>
                <w:rFonts w:eastAsia="Times New Roman"/>
                <w:bCs w:val="0"/>
                <w:sz w:val="20"/>
                <w:szCs w:val="20"/>
                <w:lang w:eastAsia="fr-FR"/>
              </w:rPr>
              <w:t>8,41</w:t>
            </w:r>
          </w:p>
        </w:tc>
        <w:tc>
          <w:tcPr>
            <w:tcW w:w="1000" w:type="dxa"/>
            <w:tcBorders>
              <w:top w:val="nil"/>
              <w:left w:val="nil"/>
              <w:bottom w:val="single" w:sz="4" w:space="0" w:color="auto"/>
              <w:right w:val="single" w:sz="8"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sz w:val="20"/>
                <w:szCs w:val="20"/>
                <w:lang w:eastAsia="fr-FR"/>
              </w:rPr>
            </w:pPr>
            <w:r w:rsidRPr="00C85383">
              <w:rPr>
                <w:rFonts w:eastAsia="Times New Roman"/>
                <w:bCs w:val="0"/>
                <w:sz w:val="20"/>
                <w:szCs w:val="20"/>
                <w:lang w:eastAsia="fr-FR"/>
              </w:rPr>
              <w:t>0,00</w:t>
            </w:r>
          </w:p>
        </w:tc>
      </w:tr>
      <w:tr w:rsidR="00C85383" w:rsidRPr="00C85383" w:rsidTr="00C85383">
        <w:trPr>
          <w:trHeight w:val="510"/>
        </w:trPr>
        <w:tc>
          <w:tcPr>
            <w:tcW w:w="2140" w:type="dxa"/>
            <w:vMerge w:val="restart"/>
            <w:tcBorders>
              <w:top w:val="nil"/>
              <w:left w:val="single" w:sz="8" w:space="0" w:color="auto"/>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r w:rsidRPr="00C85383">
              <w:rPr>
                <w:rFonts w:eastAsia="Times New Roman"/>
                <w:b/>
                <w:color w:val="auto"/>
                <w:sz w:val="22"/>
                <w:szCs w:val="22"/>
                <w:lang w:eastAsia="fr-FR"/>
              </w:rPr>
              <w:t>Prépaiement volontaire</w:t>
            </w: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Prépaiement volontaire venant des individus/des ménages</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color w:val="auto"/>
                <w:sz w:val="20"/>
                <w:szCs w:val="20"/>
                <w:lang w:eastAsia="fr-FR"/>
              </w:rPr>
            </w:pPr>
            <w:r w:rsidRPr="00C85383">
              <w:rPr>
                <w:rFonts w:eastAsia="Times New Roman"/>
                <w:bCs w:val="0"/>
                <w:color w:val="auto"/>
                <w:sz w:val="20"/>
                <w:szCs w:val="20"/>
                <w:lang w:eastAsia="fr-FR"/>
              </w:rPr>
              <w:t>1 820,71</w:t>
            </w:r>
          </w:p>
        </w:tc>
        <w:tc>
          <w:tcPr>
            <w:tcW w:w="13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83" w:rsidRPr="00C85383" w:rsidRDefault="00272D6D" w:rsidP="00C85383">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3061,80</w:t>
            </w:r>
          </w:p>
        </w:tc>
        <w:tc>
          <w:tcPr>
            <w:tcW w:w="10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C85383" w:rsidRPr="00C85383" w:rsidRDefault="00C85383" w:rsidP="003F3BEF">
            <w:pPr>
              <w:autoSpaceDE/>
              <w:autoSpaceDN/>
              <w:adjustRightInd/>
              <w:spacing w:after="0" w:line="240" w:lineRule="auto"/>
              <w:jc w:val="center"/>
              <w:rPr>
                <w:rFonts w:eastAsia="Times New Roman"/>
                <w:bCs w:val="0"/>
                <w:sz w:val="20"/>
                <w:szCs w:val="20"/>
                <w:lang w:eastAsia="fr-FR"/>
              </w:rPr>
            </w:pPr>
            <w:r w:rsidRPr="00C85383">
              <w:rPr>
                <w:rFonts w:eastAsia="Times New Roman"/>
                <w:bCs w:val="0"/>
                <w:sz w:val="20"/>
                <w:szCs w:val="20"/>
                <w:lang w:eastAsia="fr-FR"/>
              </w:rPr>
              <w:t>0,</w:t>
            </w:r>
            <w:r w:rsidR="00272D6D" w:rsidRPr="00C85383">
              <w:rPr>
                <w:rFonts w:eastAsia="Times New Roman"/>
                <w:bCs w:val="0"/>
                <w:sz w:val="20"/>
                <w:szCs w:val="20"/>
                <w:lang w:eastAsia="fr-FR"/>
              </w:rPr>
              <w:t>7</w:t>
            </w:r>
            <w:r w:rsidR="003F3BEF">
              <w:rPr>
                <w:rFonts w:eastAsia="Times New Roman"/>
                <w:bCs w:val="0"/>
                <w:sz w:val="20"/>
                <w:szCs w:val="20"/>
                <w:lang w:eastAsia="fr-FR"/>
              </w:rPr>
              <w:t>7</w:t>
            </w:r>
          </w:p>
        </w:tc>
      </w:tr>
      <w:tr w:rsidR="00C85383" w:rsidRPr="00C85383" w:rsidTr="00C85383">
        <w:trPr>
          <w:trHeight w:val="510"/>
        </w:trPr>
        <w:tc>
          <w:tcPr>
            <w:tcW w:w="2140" w:type="dxa"/>
            <w:vMerge/>
            <w:tcBorders>
              <w:top w:val="nil"/>
              <w:left w:val="single" w:sz="8" w:space="0" w:color="auto"/>
              <w:bottom w:val="single" w:sz="4" w:space="0" w:color="auto"/>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Prépaiement volontaire venant des employeurs</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A7614C" w:rsidP="00C8538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1241,09</w:t>
            </w:r>
          </w:p>
        </w:tc>
        <w:tc>
          <w:tcPr>
            <w:tcW w:w="1390" w:type="dxa"/>
            <w:vMerge/>
            <w:tcBorders>
              <w:top w:val="nil"/>
              <w:left w:val="single" w:sz="4" w:space="0" w:color="auto"/>
              <w:bottom w:val="single" w:sz="4" w:space="0" w:color="000000"/>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c>
          <w:tcPr>
            <w:tcW w:w="1000" w:type="dxa"/>
            <w:vMerge/>
            <w:tcBorders>
              <w:top w:val="nil"/>
              <w:left w:val="single" w:sz="4" w:space="0" w:color="auto"/>
              <w:bottom w:val="single" w:sz="4" w:space="0" w:color="000000"/>
              <w:right w:val="single" w:sz="8"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r>
      <w:tr w:rsidR="00C85383" w:rsidRPr="00C85383" w:rsidTr="00C85383">
        <w:trPr>
          <w:trHeight w:val="510"/>
        </w:trPr>
        <w:tc>
          <w:tcPr>
            <w:tcW w:w="2140" w:type="dxa"/>
            <w:vMerge w:val="restart"/>
            <w:tcBorders>
              <w:top w:val="nil"/>
              <w:left w:val="single" w:sz="8" w:space="0" w:color="auto"/>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r w:rsidRPr="00C85383">
              <w:rPr>
                <w:rFonts w:eastAsia="Times New Roman"/>
                <w:b/>
                <w:color w:val="auto"/>
                <w:sz w:val="22"/>
                <w:szCs w:val="22"/>
                <w:lang w:eastAsia="fr-FR"/>
              </w:rPr>
              <w:t>Autres revenus nationaux n.c.a.</w:t>
            </w: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Autres revenus venant des ménages n.c.a.</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color w:val="auto"/>
                <w:sz w:val="20"/>
                <w:szCs w:val="20"/>
                <w:lang w:eastAsia="fr-FR"/>
              </w:rPr>
            </w:pPr>
            <w:r w:rsidRPr="00C85383">
              <w:rPr>
                <w:rFonts w:eastAsia="Times New Roman"/>
                <w:bCs w:val="0"/>
                <w:color w:val="auto"/>
                <w:sz w:val="20"/>
                <w:szCs w:val="20"/>
                <w:lang w:eastAsia="fr-FR"/>
              </w:rPr>
              <w:t>189 034,03</w:t>
            </w:r>
          </w:p>
        </w:tc>
        <w:tc>
          <w:tcPr>
            <w:tcW w:w="13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83" w:rsidRPr="00C85383" w:rsidRDefault="00272D6D" w:rsidP="00C85383">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190440, 77</w:t>
            </w:r>
          </w:p>
        </w:tc>
        <w:tc>
          <w:tcPr>
            <w:tcW w:w="10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C85383" w:rsidRPr="00C85383" w:rsidRDefault="00C85383" w:rsidP="00272D6D">
            <w:pPr>
              <w:autoSpaceDE/>
              <w:autoSpaceDN/>
              <w:adjustRightInd/>
              <w:spacing w:after="0" w:line="240" w:lineRule="auto"/>
              <w:jc w:val="center"/>
              <w:rPr>
                <w:rFonts w:eastAsia="Times New Roman"/>
                <w:bCs w:val="0"/>
                <w:sz w:val="20"/>
                <w:szCs w:val="20"/>
                <w:lang w:eastAsia="fr-FR"/>
              </w:rPr>
            </w:pPr>
            <w:r w:rsidRPr="00C85383">
              <w:rPr>
                <w:rFonts w:eastAsia="Times New Roman"/>
                <w:bCs w:val="0"/>
                <w:sz w:val="20"/>
                <w:szCs w:val="20"/>
                <w:lang w:eastAsia="fr-FR"/>
              </w:rPr>
              <w:t>47,</w:t>
            </w:r>
            <w:r w:rsidR="00272D6D" w:rsidRPr="00C85383">
              <w:rPr>
                <w:rFonts w:eastAsia="Times New Roman"/>
                <w:bCs w:val="0"/>
                <w:sz w:val="20"/>
                <w:szCs w:val="20"/>
                <w:lang w:eastAsia="fr-FR"/>
              </w:rPr>
              <w:t>4</w:t>
            </w:r>
            <w:r w:rsidR="00272D6D">
              <w:rPr>
                <w:rFonts w:eastAsia="Times New Roman"/>
                <w:bCs w:val="0"/>
                <w:sz w:val="20"/>
                <w:szCs w:val="20"/>
                <w:lang w:eastAsia="fr-FR"/>
              </w:rPr>
              <w:t>5</w:t>
            </w:r>
          </w:p>
        </w:tc>
      </w:tr>
      <w:tr w:rsidR="00C85383" w:rsidRPr="00C85383" w:rsidTr="00C85383">
        <w:trPr>
          <w:trHeight w:val="510"/>
        </w:trPr>
        <w:tc>
          <w:tcPr>
            <w:tcW w:w="2140" w:type="dxa"/>
            <w:vMerge/>
            <w:tcBorders>
              <w:top w:val="nil"/>
              <w:left w:val="single" w:sz="8" w:space="0" w:color="auto"/>
              <w:bottom w:val="single" w:sz="4" w:space="0" w:color="auto"/>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Autres revenus venant des entreprises n.c.a.</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52264F" w:rsidP="0052264F">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1359,68</w:t>
            </w:r>
          </w:p>
        </w:tc>
        <w:tc>
          <w:tcPr>
            <w:tcW w:w="1390" w:type="dxa"/>
            <w:vMerge/>
            <w:tcBorders>
              <w:top w:val="nil"/>
              <w:left w:val="single" w:sz="4" w:space="0" w:color="auto"/>
              <w:bottom w:val="single" w:sz="4" w:space="0" w:color="000000"/>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c>
          <w:tcPr>
            <w:tcW w:w="1000" w:type="dxa"/>
            <w:vMerge/>
            <w:tcBorders>
              <w:top w:val="nil"/>
              <w:left w:val="single" w:sz="4" w:space="0" w:color="auto"/>
              <w:bottom w:val="single" w:sz="4" w:space="0" w:color="000000"/>
              <w:right w:val="single" w:sz="8"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r>
      <w:tr w:rsidR="00C85383" w:rsidRPr="00C85383" w:rsidTr="00C85383">
        <w:trPr>
          <w:trHeight w:val="510"/>
        </w:trPr>
        <w:tc>
          <w:tcPr>
            <w:tcW w:w="2140" w:type="dxa"/>
            <w:vMerge/>
            <w:tcBorders>
              <w:top w:val="nil"/>
              <w:left w:val="single" w:sz="8" w:space="0" w:color="auto"/>
              <w:bottom w:val="single" w:sz="4" w:space="0" w:color="auto"/>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Autres revenus venant des ISBLSM n.c.a.</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color w:val="auto"/>
                <w:sz w:val="20"/>
                <w:szCs w:val="20"/>
                <w:lang w:eastAsia="fr-FR"/>
              </w:rPr>
            </w:pPr>
            <w:r w:rsidRPr="00C85383">
              <w:rPr>
                <w:rFonts w:eastAsia="Times New Roman"/>
                <w:bCs w:val="0"/>
                <w:color w:val="auto"/>
                <w:sz w:val="20"/>
                <w:szCs w:val="20"/>
                <w:lang w:eastAsia="fr-FR"/>
              </w:rPr>
              <w:t>47,06</w:t>
            </w:r>
          </w:p>
        </w:tc>
        <w:tc>
          <w:tcPr>
            <w:tcW w:w="1390" w:type="dxa"/>
            <w:vMerge/>
            <w:tcBorders>
              <w:top w:val="nil"/>
              <w:left w:val="single" w:sz="4" w:space="0" w:color="auto"/>
              <w:bottom w:val="single" w:sz="4" w:space="0" w:color="000000"/>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c>
          <w:tcPr>
            <w:tcW w:w="1000" w:type="dxa"/>
            <w:vMerge/>
            <w:tcBorders>
              <w:top w:val="nil"/>
              <w:left w:val="single" w:sz="4" w:space="0" w:color="auto"/>
              <w:bottom w:val="single" w:sz="4" w:space="0" w:color="000000"/>
              <w:right w:val="single" w:sz="8"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r>
      <w:tr w:rsidR="00C85383" w:rsidRPr="00C85383" w:rsidTr="00C85383">
        <w:trPr>
          <w:trHeight w:val="510"/>
        </w:trPr>
        <w:tc>
          <w:tcPr>
            <w:tcW w:w="2140" w:type="dxa"/>
            <w:vMerge w:val="restart"/>
            <w:tcBorders>
              <w:top w:val="nil"/>
              <w:left w:val="single" w:sz="8" w:space="0" w:color="auto"/>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r w:rsidRPr="00C85383">
              <w:rPr>
                <w:rFonts w:eastAsia="Times New Roman"/>
                <w:b/>
                <w:color w:val="auto"/>
                <w:sz w:val="22"/>
                <w:szCs w:val="22"/>
                <w:lang w:eastAsia="fr-FR"/>
              </w:rPr>
              <w:t xml:space="preserve">Transferts directs étrangers </w:t>
            </w: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Transferts financiers directs étrangers</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52264F" w:rsidP="00C8538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105354,14</w:t>
            </w:r>
          </w:p>
        </w:tc>
        <w:tc>
          <w:tcPr>
            <w:tcW w:w="13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83" w:rsidRPr="00C85383" w:rsidRDefault="0052264F" w:rsidP="00C85383">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105360,68</w:t>
            </w:r>
          </w:p>
        </w:tc>
        <w:tc>
          <w:tcPr>
            <w:tcW w:w="10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C85383" w:rsidRPr="00C85383" w:rsidRDefault="00272D6D" w:rsidP="00272D6D">
            <w:pPr>
              <w:autoSpaceDE/>
              <w:autoSpaceDN/>
              <w:adjustRightInd/>
              <w:spacing w:after="0" w:line="240" w:lineRule="auto"/>
              <w:jc w:val="center"/>
              <w:rPr>
                <w:rFonts w:eastAsia="Times New Roman"/>
                <w:bCs w:val="0"/>
                <w:sz w:val="20"/>
                <w:szCs w:val="20"/>
                <w:lang w:eastAsia="fr-FR"/>
              </w:rPr>
            </w:pPr>
            <w:r w:rsidRPr="00C85383">
              <w:rPr>
                <w:rFonts w:eastAsia="Times New Roman"/>
                <w:bCs w:val="0"/>
                <w:sz w:val="20"/>
                <w:szCs w:val="20"/>
                <w:lang w:eastAsia="fr-FR"/>
              </w:rPr>
              <w:t>2</w:t>
            </w:r>
            <w:r>
              <w:rPr>
                <w:rFonts w:eastAsia="Times New Roman"/>
                <w:bCs w:val="0"/>
                <w:sz w:val="20"/>
                <w:szCs w:val="20"/>
                <w:lang w:eastAsia="fr-FR"/>
              </w:rPr>
              <w:t>6</w:t>
            </w:r>
            <w:r w:rsidR="00C85383" w:rsidRPr="00C85383">
              <w:rPr>
                <w:rFonts w:eastAsia="Times New Roman"/>
                <w:bCs w:val="0"/>
                <w:sz w:val="20"/>
                <w:szCs w:val="20"/>
                <w:lang w:eastAsia="fr-FR"/>
              </w:rPr>
              <w:t>,</w:t>
            </w:r>
            <w:r>
              <w:rPr>
                <w:rFonts w:eastAsia="Times New Roman"/>
                <w:bCs w:val="0"/>
                <w:sz w:val="20"/>
                <w:szCs w:val="20"/>
                <w:lang w:eastAsia="fr-FR"/>
              </w:rPr>
              <w:t>25</w:t>
            </w:r>
          </w:p>
        </w:tc>
      </w:tr>
      <w:tr w:rsidR="00C85383" w:rsidRPr="00C85383" w:rsidTr="00C85383">
        <w:trPr>
          <w:trHeight w:val="510"/>
        </w:trPr>
        <w:tc>
          <w:tcPr>
            <w:tcW w:w="2140" w:type="dxa"/>
            <w:vMerge/>
            <w:tcBorders>
              <w:top w:val="nil"/>
              <w:left w:val="single" w:sz="8" w:space="0" w:color="auto"/>
              <w:bottom w:val="single" w:sz="4" w:space="0" w:color="auto"/>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p>
        </w:tc>
        <w:tc>
          <w:tcPr>
            <w:tcW w:w="2560" w:type="dxa"/>
            <w:tcBorders>
              <w:top w:val="nil"/>
              <w:left w:val="nil"/>
              <w:bottom w:val="single" w:sz="4" w:space="0" w:color="auto"/>
              <w:right w:val="single" w:sz="4" w:space="0" w:color="auto"/>
            </w:tcBorders>
            <w:shd w:val="clear" w:color="auto" w:fill="auto"/>
            <w:vAlign w:val="center"/>
            <w:hideMark/>
          </w:tcPr>
          <w:p w:rsidR="00C85383" w:rsidRPr="00C85383" w:rsidRDefault="00C85383" w:rsidP="00C85383">
            <w:pPr>
              <w:autoSpaceDE/>
              <w:autoSpaceDN/>
              <w:adjustRightInd/>
              <w:spacing w:after="0" w:line="240" w:lineRule="auto"/>
              <w:jc w:val="left"/>
              <w:rPr>
                <w:rFonts w:eastAsia="Times New Roman"/>
                <w:bCs w:val="0"/>
                <w:color w:val="auto"/>
                <w:sz w:val="20"/>
                <w:szCs w:val="20"/>
                <w:lang w:eastAsia="fr-FR"/>
              </w:rPr>
            </w:pPr>
            <w:r w:rsidRPr="00C85383">
              <w:rPr>
                <w:rFonts w:eastAsia="Times New Roman"/>
                <w:bCs w:val="0"/>
                <w:color w:val="auto"/>
                <w:sz w:val="20"/>
                <w:szCs w:val="20"/>
                <w:lang w:eastAsia="fr-FR"/>
              </w:rPr>
              <w:t>Aide directe étrangère en nature</w:t>
            </w:r>
          </w:p>
        </w:tc>
        <w:tc>
          <w:tcPr>
            <w:tcW w:w="1390" w:type="dxa"/>
            <w:tcBorders>
              <w:top w:val="nil"/>
              <w:left w:val="nil"/>
              <w:bottom w:val="single" w:sz="4"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right"/>
              <w:rPr>
                <w:rFonts w:eastAsia="Times New Roman"/>
                <w:bCs w:val="0"/>
                <w:color w:val="auto"/>
                <w:sz w:val="20"/>
                <w:szCs w:val="20"/>
                <w:lang w:eastAsia="fr-FR"/>
              </w:rPr>
            </w:pPr>
            <w:r w:rsidRPr="00C85383">
              <w:rPr>
                <w:rFonts w:eastAsia="Times New Roman"/>
                <w:bCs w:val="0"/>
                <w:color w:val="auto"/>
                <w:sz w:val="20"/>
                <w:szCs w:val="20"/>
                <w:lang w:eastAsia="fr-FR"/>
              </w:rPr>
              <w:t>6,54</w:t>
            </w:r>
          </w:p>
        </w:tc>
        <w:tc>
          <w:tcPr>
            <w:tcW w:w="1390" w:type="dxa"/>
            <w:vMerge/>
            <w:tcBorders>
              <w:top w:val="nil"/>
              <w:left w:val="single" w:sz="4" w:space="0" w:color="auto"/>
              <w:bottom w:val="single" w:sz="4" w:space="0" w:color="000000"/>
              <w:right w:val="single" w:sz="4"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c>
          <w:tcPr>
            <w:tcW w:w="1000" w:type="dxa"/>
            <w:vMerge/>
            <w:tcBorders>
              <w:top w:val="nil"/>
              <w:left w:val="single" w:sz="4" w:space="0" w:color="auto"/>
              <w:bottom w:val="single" w:sz="4" w:space="0" w:color="000000"/>
              <w:right w:val="single" w:sz="8" w:space="0" w:color="auto"/>
            </w:tcBorders>
            <w:vAlign w:val="center"/>
            <w:hideMark/>
          </w:tcPr>
          <w:p w:rsidR="00C85383" w:rsidRPr="00C85383" w:rsidRDefault="00C85383" w:rsidP="00C85383">
            <w:pPr>
              <w:autoSpaceDE/>
              <w:autoSpaceDN/>
              <w:adjustRightInd/>
              <w:spacing w:after="0" w:line="240" w:lineRule="auto"/>
              <w:jc w:val="left"/>
              <w:rPr>
                <w:rFonts w:eastAsia="Times New Roman"/>
                <w:bCs w:val="0"/>
                <w:sz w:val="20"/>
                <w:szCs w:val="20"/>
                <w:lang w:eastAsia="fr-FR"/>
              </w:rPr>
            </w:pPr>
          </w:p>
        </w:tc>
      </w:tr>
      <w:tr w:rsidR="00C85383" w:rsidRPr="00C85383" w:rsidTr="00C85383">
        <w:trPr>
          <w:trHeight w:val="315"/>
        </w:trPr>
        <w:tc>
          <w:tcPr>
            <w:tcW w:w="2140" w:type="dxa"/>
            <w:tcBorders>
              <w:top w:val="nil"/>
              <w:left w:val="single" w:sz="8" w:space="0" w:color="auto"/>
              <w:bottom w:val="single" w:sz="8"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left"/>
              <w:rPr>
                <w:rFonts w:eastAsia="Times New Roman"/>
                <w:b/>
                <w:color w:val="auto"/>
                <w:lang w:eastAsia="fr-FR"/>
              </w:rPr>
            </w:pPr>
            <w:r w:rsidRPr="00C85383">
              <w:rPr>
                <w:rFonts w:eastAsia="Times New Roman"/>
                <w:b/>
                <w:color w:val="auto"/>
                <w:sz w:val="22"/>
                <w:szCs w:val="22"/>
                <w:lang w:eastAsia="fr-FR"/>
              </w:rPr>
              <w:t>Total</w:t>
            </w:r>
          </w:p>
        </w:tc>
        <w:tc>
          <w:tcPr>
            <w:tcW w:w="2560" w:type="dxa"/>
            <w:tcBorders>
              <w:top w:val="nil"/>
              <w:left w:val="nil"/>
              <w:bottom w:val="single" w:sz="8" w:space="0" w:color="auto"/>
              <w:right w:val="single" w:sz="4" w:space="0" w:color="auto"/>
            </w:tcBorders>
            <w:shd w:val="clear" w:color="auto" w:fill="auto"/>
            <w:noWrap/>
            <w:vAlign w:val="center"/>
            <w:hideMark/>
          </w:tcPr>
          <w:p w:rsidR="00C85383" w:rsidRPr="00C85383" w:rsidRDefault="00C85383" w:rsidP="00C85383">
            <w:pPr>
              <w:autoSpaceDE/>
              <w:autoSpaceDN/>
              <w:adjustRightInd/>
              <w:spacing w:after="0" w:line="240" w:lineRule="auto"/>
              <w:jc w:val="left"/>
              <w:rPr>
                <w:rFonts w:eastAsia="Times New Roman"/>
                <w:b/>
                <w:color w:val="auto"/>
                <w:sz w:val="20"/>
                <w:szCs w:val="20"/>
                <w:lang w:eastAsia="fr-FR"/>
              </w:rPr>
            </w:pPr>
            <w:r w:rsidRPr="00C85383">
              <w:rPr>
                <w:rFonts w:eastAsia="Times New Roman"/>
                <w:b/>
                <w:color w:val="auto"/>
                <w:sz w:val="20"/>
                <w:szCs w:val="20"/>
                <w:lang w:eastAsia="fr-FR"/>
              </w:rPr>
              <w:t> </w:t>
            </w:r>
          </w:p>
        </w:tc>
        <w:tc>
          <w:tcPr>
            <w:tcW w:w="1390" w:type="dxa"/>
            <w:tcBorders>
              <w:top w:val="nil"/>
              <w:left w:val="nil"/>
              <w:bottom w:val="single" w:sz="8" w:space="0" w:color="auto"/>
              <w:right w:val="single" w:sz="4" w:space="0" w:color="auto"/>
            </w:tcBorders>
            <w:shd w:val="clear" w:color="auto" w:fill="auto"/>
            <w:noWrap/>
            <w:vAlign w:val="center"/>
            <w:hideMark/>
          </w:tcPr>
          <w:p w:rsidR="00C85383" w:rsidRPr="00C85383" w:rsidRDefault="00F871A7" w:rsidP="00C8538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 xml:space="preserve"> 401310,37</w:t>
            </w:r>
          </w:p>
        </w:tc>
        <w:tc>
          <w:tcPr>
            <w:tcW w:w="1390" w:type="dxa"/>
            <w:tcBorders>
              <w:top w:val="nil"/>
              <w:left w:val="nil"/>
              <w:bottom w:val="single" w:sz="8" w:space="0" w:color="auto"/>
              <w:right w:val="single" w:sz="4" w:space="0" w:color="auto"/>
            </w:tcBorders>
            <w:shd w:val="clear" w:color="auto" w:fill="auto"/>
            <w:noWrap/>
            <w:vAlign w:val="bottom"/>
            <w:hideMark/>
          </w:tcPr>
          <w:p w:rsidR="00C85383" w:rsidRPr="00C85383" w:rsidRDefault="00F871A7" w:rsidP="00C85383">
            <w:pPr>
              <w:autoSpaceDE/>
              <w:autoSpaceDN/>
              <w:adjustRightInd/>
              <w:spacing w:after="0" w:line="240" w:lineRule="auto"/>
              <w:jc w:val="right"/>
              <w:rPr>
                <w:rFonts w:eastAsia="Times New Roman"/>
                <w:bCs w:val="0"/>
                <w:sz w:val="20"/>
                <w:szCs w:val="20"/>
                <w:lang w:eastAsia="fr-FR"/>
              </w:rPr>
            </w:pPr>
            <w:r>
              <w:rPr>
                <w:rFonts w:eastAsia="Times New Roman"/>
                <w:bCs w:val="0"/>
                <w:color w:val="auto"/>
                <w:sz w:val="20"/>
                <w:szCs w:val="20"/>
                <w:lang w:eastAsia="fr-FR"/>
              </w:rPr>
              <w:t>401310,37</w:t>
            </w:r>
          </w:p>
        </w:tc>
        <w:tc>
          <w:tcPr>
            <w:tcW w:w="1000" w:type="dxa"/>
            <w:tcBorders>
              <w:top w:val="nil"/>
              <w:left w:val="nil"/>
              <w:bottom w:val="single" w:sz="8" w:space="0" w:color="auto"/>
              <w:right w:val="single" w:sz="8" w:space="0" w:color="auto"/>
            </w:tcBorders>
            <w:shd w:val="clear" w:color="auto" w:fill="auto"/>
            <w:noWrap/>
            <w:vAlign w:val="center"/>
            <w:hideMark/>
          </w:tcPr>
          <w:p w:rsidR="00C85383" w:rsidRPr="00C85383" w:rsidRDefault="00C85383" w:rsidP="00C85383">
            <w:pPr>
              <w:autoSpaceDE/>
              <w:autoSpaceDN/>
              <w:adjustRightInd/>
              <w:spacing w:after="0" w:line="240" w:lineRule="auto"/>
              <w:jc w:val="center"/>
              <w:rPr>
                <w:rFonts w:eastAsia="Times New Roman"/>
                <w:bCs w:val="0"/>
                <w:sz w:val="20"/>
                <w:szCs w:val="20"/>
                <w:lang w:eastAsia="fr-FR"/>
              </w:rPr>
            </w:pPr>
            <w:r w:rsidRPr="00C85383">
              <w:rPr>
                <w:rFonts w:eastAsia="Times New Roman"/>
                <w:bCs w:val="0"/>
                <w:sz w:val="20"/>
                <w:szCs w:val="20"/>
                <w:lang w:eastAsia="fr-FR"/>
              </w:rPr>
              <w:t>100,00</w:t>
            </w:r>
          </w:p>
        </w:tc>
      </w:tr>
    </w:tbl>
    <w:p w:rsidR="008F3C93" w:rsidRDefault="008F3C93" w:rsidP="00184430">
      <w:pPr>
        <w:spacing w:before="240" w:line="312" w:lineRule="auto"/>
        <w:rPr>
          <w:lang w:eastAsia="en-US"/>
        </w:rPr>
      </w:pPr>
    </w:p>
    <w:p w:rsidR="00734095" w:rsidRPr="0044670F" w:rsidRDefault="00734095" w:rsidP="00184430">
      <w:pPr>
        <w:spacing w:before="240" w:line="312" w:lineRule="auto"/>
        <w:rPr>
          <w:lang w:eastAsia="en-US"/>
        </w:rPr>
      </w:pPr>
      <w:r w:rsidRPr="0044670F">
        <w:rPr>
          <w:lang w:eastAsia="en-US"/>
        </w:rPr>
        <w:t>Le tableau 3</w:t>
      </w:r>
      <w:r w:rsidR="008F3C93">
        <w:rPr>
          <w:lang w:eastAsia="en-US"/>
        </w:rPr>
        <w:t>.1.3</w:t>
      </w:r>
      <w:r w:rsidRPr="0044670F">
        <w:rPr>
          <w:lang w:eastAsia="en-US"/>
        </w:rPr>
        <w:t xml:space="preserve"> montre qu’en 201</w:t>
      </w:r>
      <w:r w:rsidR="008F3C93">
        <w:rPr>
          <w:lang w:eastAsia="en-US"/>
        </w:rPr>
        <w:t>4</w:t>
      </w:r>
      <w:r w:rsidRPr="0044670F">
        <w:rPr>
          <w:lang w:eastAsia="en-US"/>
        </w:rPr>
        <w:t xml:space="preserve">, ce sont les autres revenus nationaux qui ont mobilisé </w:t>
      </w:r>
      <w:r w:rsidR="008F3C93">
        <w:rPr>
          <w:lang w:eastAsia="en-US"/>
        </w:rPr>
        <w:t>47,</w:t>
      </w:r>
      <w:r w:rsidR="00D0675F">
        <w:rPr>
          <w:lang w:eastAsia="en-US"/>
        </w:rPr>
        <w:t>45</w:t>
      </w:r>
      <w:r w:rsidRPr="0044670F">
        <w:rPr>
          <w:lang w:eastAsia="en-US"/>
        </w:rPr>
        <w:t xml:space="preserve">% des revenus des régimes de financement. Dans cette part, les ménages occupent l’essentiel des revenus avec </w:t>
      </w:r>
      <w:r w:rsidR="008F3C93">
        <w:rPr>
          <w:lang w:eastAsia="en-US"/>
        </w:rPr>
        <w:t>99</w:t>
      </w:r>
      <w:r w:rsidRPr="0044670F">
        <w:rPr>
          <w:lang w:eastAsia="en-US"/>
        </w:rPr>
        <w:t>,</w:t>
      </w:r>
      <w:r w:rsidR="006F7E16" w:rsidRPr="0044670F">
        <w:rPr>
          <w:lang w:eastAsia="en-US"/>
        </w:rPr>
        <w:t>2</w:t>
      </w:r>
      <w:r w:rsidR="006F7E16">
        <w:rPr>
          <w:lang w:eastAsia="en-US"/>
        </w:rPr>
        <w:t>6</w:t>
      </w:r>
      <w:r w:rsidRPr="0044670F">
        <w:rPr>
          <w:lang w:eastAsia="en-US"/>
        </w:rPr>
        <w:t xml:space="preserve">%. </w:t>
      </w:r>
    </w:p>
    <w:p w:rsidR="00E87B55" w:rsidRDefault="00734095" w:rsidP="00587784">
      <w:pPr>
        <w:spacing w:line="312" w:lineRule="auto"/>
        <w:rPr>
          <w:lang w:eastAsia="en-US"/>
        </w:rPr>
      </w:pPr>
      <w:r w:rsidRPr="0044670F">
        <w:rPr>
          <w:lang w:eastAsia="en-US"/>
        </w:rPr>
        <w:t xml:space="preserve">Le deuxième poste le plus important des revenus des régimes de financement est celui des transferts directs étrangers avec </w:t>
      </w:r>
      <w:r w:rsidR="006F7E16" w:rsidRPr="0044670F">
        <w:rPr>
          <w:lang w:eastAsia="en-US"/>
        </w:rPr>
        <w:t>2</w:t>
      </w:r>
      <w:r w:rsidR="006F7E16">
        <w:rPr>
          <w:lang w:eastAsia="en-US"/>
        </w:rPr>
        <w:t>6</w:t>
      </w:r>
      <w:r w:rsidRPr="0044670F">
        <w:rPr>
          <w:lang w:eastAsia="en-US"/>
        </w:rPr>
        <w:t>,</w:t>
      </w:r>
      <w:r w:rsidR="006F7E16">
        <w:rPr>
          <w:lang w:eastAsia="en-US"/>
        </w:rPr>
        <w:t>25</w:t>
      </w:r>
      <w:r w:rsidRPr="0044670F">
        <w:rPr>
          <w:lang w:eastAsia="en-US"/>
        </w:rPr>
        <w:t xml:space="preserve">%, dont </w:t>
      </w:r>
      <w:r w:rsidR="00E87B55">
        <w:rPr>
          <w:lang w:eastAsia="en-US"/>
        </w:rPr>
        <w:t>la quasi-totalité rev</w:t>
      </w:r>
      <w:r w:rsidR="003501AE">
        <w:rPr>
          <w:lang w:eastAsia="en-US"/>
        </w:rPr>
        <w:t>i</w:t>
      </w:r>
      <w:r w:rsidR="00E87B55">
        <w:rPr>
          <w:lang w:eastAsia="en-US"/>
        </w:rPr>
        <w:t xml:space="preserve">ent </w:t>
      </w:r>
      <w:r w:rsidR="00FB703D">
        <w:rPr>
          <w:lang w:eastAsia="en-US"/>
        </w:rPr>
        <w:t>aux</w:t>
      </w:r>
      <w:r w:rsidR="009721AB">
        <w:rPr>
          <w:lang w:eastAsia="en-US"/>
        </w:rPr>
        <w:t xml:space="preserve"> </w:t>
      </w:r>
      <w:r w:rsidRPr="0044670F">
        <w:rPr>
          <w:lang w:eastAsia="en-US"/>
        </w:rPr>
        <w:t>transferts financiers directs</w:t>
      </w:r>
      <w:r w:rsidR="00E87B55">
        <w:rPr>
          <w:lang w:eastAsia="en-US"/>
        </w:rPr>
        <w:t xml:space="preserve"> étrangers avec 99,99%.</w:t>
      </w:r>
      <w:r w:rsidRPr="0044670F">
        <w:rPr>
          <w:lang w:eastAsia="en-US"/>
        </w:rPr>
        <w:t xml:space="preserve"> Ensuite viennent les transferts issus des revenus nationaux de l’administration publique (all</w:t>
      </w:r>
      <w:r w:rsidR="00184430">
        <w:rPr>
          <w:lang w:eastAsia="en-US"/>
        </w:rPr>
        <w:t>oués à la santé) avec 12,</w:t>
      </w:r>
      <w:r w:rsidR="006F7E16">
        <w:rPr>
          <w:lang w:eastAsia="en-US"/>
        </w:rPr>
        <w:t xml:space="preserve">70 </w:t>
      </w:r>
      <w:r w:rsidR="00184430">
        <w:rPr>
          <w:lang w:eastAsia="en-US"/>
        </w:rPr>
        <w:t xml:space="preserve">%. </w:t>
      </w:r>
    </w:p>
    <w:p w:rsidR="009E2864" w:rsidRPr="0044670F" w:rsidRDefault="00734095" w:rsidP="006A537C">
      <w:pPr>
        <w:spacing w:line="312" w:lineRule="auto"/>
        <w:rPr>
          <w:lang w:eastAsia="en-US"/>
        </w:rPr>
      </w:pPr>
      <w:r w:rsidRPr="0044670F">
        <w:rPr>
          <w:lang w:eastAsia="en-US"/>
        </w:rPr>
        <w:t xml:space="preserve">Les </w:t>
      </w:r>
      <w:r w:rsidR="00E87B55">
        <w:rPr>
          <w:lang w:eastAsia="en-US"/>
        </w:rPr>
        <w:t xml:space="preserve">transferts d’origines étrangères distribués par l’administration publique </w:t>
      </w:r>
      <w:r w:rsidR="006F7E16">
        <w:rPr>
          <w:lang w:eastAsia="en-US"/>
        </w:rPr>
        <w:t>représente 9,78</w:t>
      </w:r>
      <w:r w:rsidR="00E87B55">
        <w:rPr>
          <w:lang w:eastAsia="en-US"/>
        </w:rPr>
        <w:t xml:space="preserve"> % </w:t>
      </w:r>
      <w:r w:rsidR="009E2864" w:rsidRPr="0044670F">
        <w:rPr>
          <w:lang w:eastAsia="en-US"/>
        </w:rPr>
        <w:t xml:space="preserve">Il faut retenir de cette répartition que le financement de la santé est assuré pour la plus grande partie par les fonds nationaux, soit </w:t>
      </w:r>
      <w:r w:rsidR="00624228" w:rsidRPr="002D1454">
        <w:rPr>
          <w:lang w:eastAsia="en-US"/>
        </w:rPr>
        <w:t>60</w:t>
      </w:r>
      <w:r w:rsidR="004D0145" w:rsidRPr="002D1454">
        <w:rPr>
          <w:lang w:eastAsia="en-US"/>
        </w:rPr>
        <w:t>,</w:t>
      </w:r>
      <w:r w:rsidR="00624228" w:rsidRPr="002D1454">
        <w:rPr>
          <w:lang w:eastAsia="en-US"/>
        </w:rPr>
        <w:t>15</w:t>
      </w:r>
      <w:r w:rsidR="009E2864" w:rsidRPr="002D1454">
        <w:rPr>
          <w:lang w:eastAsia="en-US"/>
        </w:rPr>
        <w:t>%</w:t>
      </w:r>
      <w:r w:rsidR="00921987" w:rsidRPr="002D1454">
        <w:rPr>
          <w:lang w:eastAsia="en-US"/>
        </w:rPr>
        <w:t>,les fonds du reste du monde représentent</w:t>
      </w:r>
      <w:r w:rsidR="00624228" w:rsidRPr="002D1454">
        <w:rPr>
          <w:lang w:eastAsia="en-US"/>
        </w:rPr>
        <w:t>39</w:t>
      </w:r>
      <w:r w:rsidR="004D0145" w:rsidRPr="002D1454">
        <w:rPr>
          <w:lang w:eastAsia="en-US"/>
        </w:rPr>
        <w:t>,</w:t>
      </w:r>
      <w:r w:rsidR="00624228" w:rsidRPr="002D1454">
        <w:rPr>
          <w:lang w:eastAsia="en-US"/>
        </w:rPr>
        <w:t xml:space="preserve"> 84</w:t>
      </w:r>
      <w:r w:rsidR="009E2864" w:rsidRPr="0044670F">
        <w:rPr>
          <w:lang w:eastAsia="en-US"/>
        </w:rPr>
        <w:t xml:space="preserve">%. Ce qui est une situation rassurante, car elle rend moins </w:t>
      </w:r>
      <w:r w:rsidR="004D0145">
        <w:rPr>
          <w:lang w:eastAsia="en-US"/>
        </w:rPr>
        <w:t xml:space="preserve">dépendant </w:t>
      </w:r>
      <w:r w:rsidR="009E2864" w:rsidRPr="0044670F">
        <w:rPr>
          <w:lang w:eastAsia="en-US"/>
        </w:rPr>
        <w:t xml:space="preserve">le système de </w:t>
      </w:r>
      <w:r w:rsidR="004D0145">
        <w:rPr>
          <w:lang w:eastAsia="en-US"/>
        </w:rPr>
        <w:t xml:space="preserve">financement de la </w:t>
      </w:r>
      <w:r w:rsidR="009E2864" w:rsidRPr="0044670F">
        <w:rPr>
          <w:lang w:eastAsia="en-US"/>
        </w:rPr>
        <w:t xml:space="preserve">santé </w:t>
      </w:r>
      <w:r w:rsidR="004D0145">
        <w:rPr>
          <w:lang w:eastAsia="en-US"/>
        </w:rPr>
        <w:t>vis-à-vis de l’extérieur.</w:t>
      </w:r>
    </w:p>
    <w:p w:rsidR="00AA075F" w:rsidRDefault="009E2864" w:rsidP="00587784">
      <w:pPr>
        <w:spacing w:line="312" w:lineRule="auto"/>
        <w:rPr>
          <w:lang w:eastAsia="en-US"/>
        </w:rPr>
      </w:pPr>
      <w:r w:rsidRPr="0044670F">
        <w:rPr>
          <w:lang w:eastAsia="en-US"/>
        </w:rPr>
        <w:t xml:space="preserve">Mais, une bonne partie des fonds étrangers affectés au financement de la santé échappent au contrôle du Ministère de la santé. En effet, </w:t>
      </w:r>
      <w:r w:rsidR="00BA3FBE">
        <w:rPr>
          <w:lang w:eastAsia="en-US"/>
        </w:rPr>
        <w:t xml:space="preserve">seulement </w:t>
      </w:r>
      <w:r w:rsidR="00C84EBB" w:rsidRPr="0044670F">
        <w:rPr>
          <w:lang w:eastAsia="en-US"/>
        </w:rPr>
        <w:t>2</w:t>
      </w:r>
      <w:r w:rsidR="00C84EBB">
        <w:rPr>
          <w:lang w:eastAsia="en-US"/>
        </w:rPr>
        <w:t>1</w:t>
      </w:r>
      <w:r w:rsidRPr="0044670F">
        <w:rPr>
          <w:lang w:eastAsia="en-US"/>
        </w:rPr>
        <w:t>,</w:t>
      </w:r>
      <w:r w:rsidR="00C84EBB">
        <w:rPr>
          <w:lang w:eastAsia="en-US"/>
        </w:rPr>
        <w:t>11</w:t>
      </w:r>
      <w:r w:rsidRPr="0044670F">
        <w:rPr>
          <w:lang w:eastAsia="en-US"/>
        </w:rPr>
        <w:t>% des fonds étrangers passent par l’administration publique. Ce qui n’est pas sans conséquence sur la pertinence et l’efficacité des décisions prises par le Ministère de la santé en matière de planification du financement de la santé.</w:t>
      </w:r>
    </w:p>
    <w:p w:rsidR="00AA075F" w:rsidRDefault="00AA075F">
      <w:pPr>
        <w:autoSpaceDE/>
        <w:autoSpaceDN/>
        <w:adjustRightInd/>
        <w:spacing w:after="200" w:line="276" w:lineRule="auto"/>
        <w:jc w:val="left"/>
        <w:rPr>
          <w:lang w:eastAsia="en-US"/>
        </w:rPr>
      </w:pPr>
      <w:r>
        <w:rPr>
          <w:lang w:eastAsia="en-US"/>
        </w:rPr>
        <w:br w:type="page"/>
      </w:r>
    </w:p>
    <w:p w:rsidR="00E36B0E" w:rsidRPr="0044670F" w:rsidRDefault="00E36B0E" w:rsidP="00587784">
      <w:pPr>
        <w:spacing w:line="312" w:lineRule="auto"/>
        <w:rPr>
          <w:lang w:eastAsia="en-US"/>
        </w:rPr>
      </w:pPr>
    </w:p>
    <w:p w:rsidR="00734095" w:rsidRPr="007B0ECB" w:rsidRDefault="00734095" w:rsidP="007B0ECB">
      <w:pPr>
        <w:pStyle w:val="Titre4"/>
        <w:numPr>
          <w:ilvl w:val="3"/>
          <w:numId w:val="37"/>
        </w:numPr>
        <w:autoSpaceDE/>
        <w:autoSpaceDN/>
        <w:adjustRightInd/>
        <w:spacing w:after="0" w:line="240" w:lineRule="auto"/>
        <w:jc w:val="left"/>
      </w:pPr>
      <w:r w:rsidRPr="007B0ECB">
        <w:t>Dépenses des régimes de finan</w:t>
      </w:r>
      <w:r w:rsidR="00184430" w:rsidRPr="007B0ECB">
        <w:t>cement par agent de financement</w:t>
      </w:r>
    </w:p>
    <w:p w:rsidR="007B0ECB" w:rsidRDefault="007B0ECB" w:rsidP="003501AE">
      <w:pPr>
        <w:spacing w:after="120" w:line="312" w:lineRule="auto"/>
        <w:rPr>
          <w:i/>
          <w:sz w:val="22"/>
          <w:szCs w:val="22"/>
          <w:lang w:eastAsia="en-US"/>
        </w:rPr>
      </w:pPr>
    </w:p>
    <w:p w:rsidR="003501AE" w:rsidRPr="000815EE" w:rsidRDefault="003456F1" w:rsidP="003501AE">
      <w:pPr>
        <w:spacing w:after="120" w:line="312" w:lineRule="auto"/>
        <w:rPr>
          <w:rFonts w:eastAsia="Times New Roman"/>
          <w:bCs w:val="0"/>
          <w:sz w:val="20"/>
          <w:szCs w:val="20"/>
          <w:lang w:eastAsia="fr-FR"/>
        </w:rPr>
      </w:pPr>
      <w:r w:rsidRPr="00947090">
        <w:rPr>
          <w:i/>
          <w:sz w:val="22"/>
          <w:szCs w:val="22"/>
          <w:lang w:eastAsia="en-US"/>
        </w:rPr>
        <w:t>T</w:t>
      </w:r>
      <w:r w:rsidR="00E36B0E" w:rsidRPr="00947090">
        <w:rPr>
          <w:i/>
          <w:sz w:val="22"/>
          <w:szCs w:val="22"/>
          <w:lang w:eastAsia="en-US"/>
        </w:rPr>
        <w:t xml:space="preserve">ableau </w:t>
      </w:r>
      <w:r w:rsidR="00693699" w:rsidRPr="00947090">
        <w:rPr>
          <w:i/>
          <w:sz w:val="22"/>
          <w:szCs w:val="22"/>
          <w:lang w:eastAsia="en-US"/>
        </w:rPr>
        <w:t>3.</w:t>
      </w:r>
      <w:r w:rsidR="00C3017C" w:rsidRPr="00947090">
        <w:rPr>
          <w:i/>
          <w:sz w:val="22"/>
          <w:szCs w:val="22"/>
          <w:lang w:eastAsia="en-US"/>
        </w:rPr>
        <w:t>1.</w:t>
      </w:r>
      <w:r w:rsidR="00E36B0E" w:rsidRPr="00947090">
        <w:rPr>
          <w:i/>
          <w:sz w:val="22"/>
          <w:szCs w:val="22"/>
          <w:lang w:eastAsia="en-US"/>
        </w:rPr>
        <w:t>4 récapitule les dépenses courantes de santé p</w:t>
      </w:r>
      <w:r w:rsidR="00184430" w:rsidRPr="00947090">
        <w:rPr>
          <w:i/>
          <w:sz w:val="22"/>
          <w:szCs w:val="22"/>
          <w:lang w:eastAsia="en-US"/>
        </w:rPr>
        <w:t xml:space="preserve">ar agent de financement en </w:t>
      </w:r>
      <w:r w:rsidR="001637FA" w:rsidRPr="00947090">
        <w:rPr>
          <w:i/>
          <w:sz w:val="22"/>
          <w:szCs w:val="22"/>
          <w:lang w:eastAsia="en-US"/>
        </w:rPr>
        <w:t>2014</w:t>
      </w:r>
      <w:r w:rsidRPr="00947090">
        <w:rPr>
          <w:rFonts w:eastAsia="Times New Roman"/>
          <w:bCs w:val="0"/>
          <w:i/>
          <w:sz w:val="22"/>
          <w:szCs w:val="22"/>
          <w:lang w:eastAsia="fr-FR"/>
        </w:rPr>
        <w:t>(en million de Francs CFA)</w:t>
      </w:r>
    </w:p>
    <w:tbl>
      <w:tblPr>
        <w:tblW w:w="9229" w:type="dxa"/>
        <w:tblInd w:w="55" w:type="dxa"/>
        <w:tblCellMar>
          <w:left w:w="70" w:type="dxa"/>
          <w:right w:w="70" w:type="dxa"/>
        </w:tblCellMar>
        <w:tblLook w:val="04A0"/>
      </w:tblPr>
      <w:tblGrid>
        <w:gridCol w:w="2425"/>
        <w:gridCol w:w="2268"/>
        <w:gridCol w:w="1418"/>
        <w:gridCol w:w="1559"/>
        <w:gridCol w:w="1559"/>
      </w:tblGrid>
      <w:tr w:rsidR="00B82F1C" w:rsidRPr="00B82F1C" w:rsidTr="007A1580">
        <w:trPr>
          <w:trHeight w:val="430"/>
        </w:trPr>
        <w:tc>
          <w:tcPr>
            <w:tcW w:w="4693"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B82F1C" w:rsidRPr="00B82F1C" w:rsidRDefault="00B82F1C" w:rsidP="00B82F1C">
            <w:pPr>
              <w:autoSpaceDE/>
              <w:autoSpaceDN/>
              <w:adjustRightInd/>
              <w:spacing w:after="0" w:line="240" w:lineRule="auto"/>
              <w:jc w:val="center"/>
              <w:rPr>
                <w:rFonts w:eastAsia="Times New Roman"/>
                <w:b/>
                <w:lang w:eastAsia="fr-FR"/>
              </w:rPr>
            </w:pPr>
            <w:r w:rsidRPr="00B82F1C">
              <w:rPr>
                <w:rFonts w:eastAsia="Times New Roman"/>
                <w:b/>
                <w:sz w:val="22"/>
                <w:szCs w:val="22"/>
                <w:lang w:eastAsia="fr-FR"/>
              </w:rPr>
              <w:t xml:space="preserve">Agents de financement </w:t>
            </w:r>
          </w:p>
        </w:tc>
        <w:tc>
          <w:tcPr>
            <w:tcW w:w="2977" w:type="dxa"/>
            <w:gridSpan w:val="2"/>
            <w:tcBorders>
              <w:top w:val="single" w:sz="8" w:space="0" w:color="auto"/>
              <w:left w:val="nil"/>
              <w:bottom w:val="single" w:sz="8" w:space="0" w:color="auto"/>
              <w:right w:val="single" w:sz="8" w:space="0" w:color="000000"/>
            </w:tcBorders>
            <w:shd w:val="clear" w:color="000000" w:fill="C0C0C0"/>
            <w:vAlign w:val="center"/>
            <w:hideMark/>
          </w:tcPr>
          <w:p w:rsidR="00B82F1C" w:rsidRPr="00B82F1C" w:rsidRDefault="00B82F1C" w:rsidP="00B82F1C">
            <w:pPr>
              <w:autoSpaceDE/>
              <w:autoSpaceDN/>
              <w:adjustRightInd/>
              <w:spacing w:after="0" w:line="240" w:lineRule="auto"/>
              <w:jc w:val="center"/>
              <w:rPr>
                <w:rFonts w:eastAsia="Times New Roman"/>
                <w:b/>
                <w:lang w:eastAsia="fr-FR"/>
              </w:rPr>
            </w:pPr>
            <w:r w:rsidRPr="00B82F1C">
              <w:rPr>
                <w:rFonts w:eastAsia="Times New Roman"/>
                <w:b/>
                <w:sz w:val="22"/>
                <w:szCs w:val="22"/>
                <w:lang w:eastAsia="fr-FR"/>
              </w:rPr>
              <w:t>Montant en F CFA</w:t>
            </w:r>
          </w:p>
        </w:tc>
        <w:tc>
          <w:tcPr>
            <w:tcW w:w="1559" w:type="dxa"/>
            <w:tcBorders>
              <w:top w:val="single" w:sz="8" w:space="0" w:color="auto"/>
              <w:left w:val="nil"/>
              <w:bottom w:val="single" w:sz="8" w:space="0" w:color="auto"/>
              <w:right w:val="single" w:sz="8" w:space="0" w:color="auto"/>
            </w:tcBorders>
            <w:shd w:val="clear" w:color="000000" w:fill="C0C0C0"/>
            <w:vAlign w:val="center"/>
            <w:hideMark/>
          </w:tcPr>
          <w:p w:rsidR="00B82F1C" w:rsidRPr="00B82F1C" w:rsidRDefault="00B82F1C" w:rsidP="00B82F1C">
            <w:pPr>
              <w:autoSpaceDE/>
              <w:autoSpaceDN/>
              <w:adjustRightInd/>
              <w:spacing w:after="0" w:line="240" w:lineRule="auto"/>
              <w:jc w:val="center"/>
              <w:rPr>
                <w:rFonts w:eastAsia="Times New Roman"/>
                <w:b/>
                <w:lang w:eastAsia="fr-FR"/>
              </w:rPr>
            </w:pPr>
            <w:r w:rsidRPr="00B82F1C">
              <w:rPr>
                <w:rFonts w:eastAsia="Times New Roman"/>
                <w:b/>
                <w:sz w:val="22"/>
                <w:szCs w:val="22"/>
                <w:lang w:eastAsia="fr-FR"/>
              </w:rPr>
              <w:t>%</w:t>
            </w:r>
          </w:p>
        </w:tc>
      </w:tr>
      <w:tr w:rsidR="00B82F1C" w:rsidRPr="00B82F1C" w:rsidTr="007A1580">
        <w:trPr>
          <w:trHeight w:val="678"/>
        </w:trPr>
        <w:tc>
          <w:tcPr>
            <w:tcW w:w="2425" w:type="dxa"/>
            <w:vMerge w:val="restart"/>
            <w:tcBorders>
              <w:top w:val="nil"/>
              <w:left w:val="single" w:sz="8" w:space="0" w:color="auto"/>
              <w:bottom w:val="single" w:sz="8" w:space="0" w:color="000000"/>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
                <w:color w:val="auto"/>
                <w:lang w:eastAsia="fr-FR"/>
              </w:rPr>
            </w:pPr>
            <w:r w:rsidRPr="00B82F1C">
              <w:rPr>
                <w:rFonts w:eastAsia="Times New Roman"/>
                <w:b/>
                <w:color w:val="auto"/>
                <w:sz w:val="22"/>
                <w:szCs w:val="22"/>
                <w:lang w:eastAsia="fr-FR"/>
              </w:rPr>
              <w:t>Administrations publiques</w:t>
            </w:r>
          </w:p>
        </w:tc>
        <w:tc>
          <w:tcPr>
            <w:tcW w:w="2268" w:type="dxa"/>
            <w:tcBorders>
              <w:top w:val="nil"/>
              <w:left w:val="nil"/>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Cs w:val="0"/>
                <w:i/>
                <w:iCs/>
                <w:color w:val="auto"/>
                <w:sz w:val="20"/>
                <w:szCs w:val="20"/>
                <w:lang w:eastAsia="fr-FR"/>
              </w:rPr>
            </w:pPr>
            <w:r w:rsidRPr="00B82F1C">
              <w:rPr>
                <w:rFonts w:eastAsia="Times New Roman"/>
                <w:bCs w:val="0"/>
                <w:i/>
                <w:iCs/>
                <w:color w:val="auto"/>
                <w:sz w:val="20"/>
                <w:szCs w:val="20"/>
                <w:lang w:eastAsia="fr-FR"/>
              </w:rPr>
              <w:t xml:space="preserve">Administration centrale </w:t>
            </w:r>
          </w:p>
        </w:tc>
        <w:tc>
          <w:tcPr>
            <w:tcW w:w="141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101280,77</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
                <w:sz w:val="20"/>
                <w:szCs w:val="20"/>
                <w:lang w:eastAsia="fr-FR"/>
              </w:rPr>
            </w:pPr>
            <w:r w:rsidRPr="00B82F1C">
              <w:rPr>
                <w:rFonts w:eastAsia="Times New Roman"/>
                <w:b/>
                <w:sz w:val="20"/>
                <w:szCs w:val="20"/>
                <w:lang w:eastAsia="fr-FR"/>
              </w:rPr>
              <w:t>103004,49</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82F1C" w:rsidRPr="00B82F1C" w:rsidRDefault="00B82F1C" w:rsidP="00DD4BD2">
            <w:pPr>
              <w:autoSpaceDE/>
              <w:autoSpaceDN/>
              <w:adjustRightInd/>
              <w:spacing w:after="0" w:line="240" w:lineRule="auto"/>
              <w:jc w:val="center"/>
              <w:rPr>
                <w:rFonts w:eastAsia="Times New Roman"/>
                <w:bCs w:val="0"/>
                <w:sz w:val="20"/>
                <w:szCs w:val="20"/>
                <w:lang w:eastAsia="fr-FR"/>
              </w:rPr>
            </w:pPr>
            <w:r w:rsidRPr="00B82F1C">
              <w:rPr>
                <w:rFonts w:eastAsia="Times New Roman"/>
                <w:bCs w:val="0"/>
                <w:sz w:val="20"/>
                <w:szCs w:val="20"/>
                <w:lang w:eastAsia="fr-FR"/>
              </w:rPr>
              <w:t>2</w:t>
            </w:r>
            <w:r w:rsidR="00DD4BD2">
              <w:rPr>
                <w:rFonts w:eastAsia="Times New Roman"/>
                <w:bCs w:val="0"/>
                <w:sz w:val="20"/>
                <w:szCs w:val="20"/>
                <w:lang w:eastAsia="fr-FR"/>
              </w:rPr>
              <w:t>5</w:t>
            </w:r>
            <w:r w:rsidRPr="00B82F1C">
              <w:rPr>
                <w:rFonts w:eastAsia="Times New Roman"/>
                <w:bCs w:val="0"/>
                <w:sz w:val="20"/>
                <w:szCs w:val="20"/>
                <w:lang w:eastAsia="fr-FR"/>
              </w:rPr>
              <w:t>,</w:t>
            </w:r>
            <w:r w:rsidR="00DD4BD2">
              <w:rPr>
                <w:rFonts w:eastAsia="Times New Roman"/>
                <w:bCs w:val="0"/>
                <w:sz w:val="20"/>
                <w:szCs w:val="20"/>
                <w:lang w:eastAsia="fr-FR"/>
              </w:rPr>
              <w:t>6</w:t>
            </w:r>
            <w:r w:rsidR="00FF6195">
              <w:rPr>
                <w:rFonts w:eastAsia="Times New Roman"/>
                <w:bCs w:val="0"/>
                <w:sz w:val="20"/>
                <w:szCs w:val="20"/>
                <w:lang w:eastAsia="fr-FR"/>
              </w:rPr>
              <w:t>7</w:t>
            </w:r>
          </w:p>
        </w:tc>
      </w:tr>
      <w:tr w:rsidR="00B82F1C" w:rsidRPr="00B82F1C" w:rsidTr="007A1580">
        <w:trPr>
          <w:trHeight w:val="1113"/>
        </w:trPr>
        <w:tc>
          <w:tcPr>
            <w:tcW w:w="2425" w:type="dxa"/>
            <w:vMerge/>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
                <w:color w:val="auto"/>
                <w:lang w:eastAsia="fr-FR"/>
              </w:rPr>
            </w:pPr>
          </w:p>
        </w:tc>
        <w:tc>
          <w:tcPr>
            <w:tcW w:w="2268" w:type="dxa"/>
            <w:tcBorders>
              <w:top w:val="nil"/>
              <w:left w:val="nil"/>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Cs w:val="0"/>
                <w:i/>
                <w:iCs/>
                <w:color w:val="auto"/>
                <w:sz w:val="20"/>
                <w:szCs w:val="20"/>
                <w:lang w:eastAsia="fr-FR"/>
              </w:rPr>
            </w:pPr>
            <w:r w:rsidRPr="00B82F1C">
              <w:rPr>
                <w:rFonts w:eastAsia="Times New Roman"/>
                <w:bCs w:val="0"/>
                <w:i/>
                <w:iCs/>
                <w:color w:val="auto"/>
                <w:sz w:val="20"/>
                <w:szCs w:val="20"/>
                <w:lang w:eastAsia="fr-FR"/>
              </w:rPr>
              <w:t xml:space="preserve">Administration provinciale/régionale/ locale </w:t>
            </w:r>
          </w:p>
        </w:tc>
        <w:tc>
          <w:tcPr>
            <w:tcW w:w="141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1030,54</w:t>
            </w:r>
          </w:p>
        </w:tc>
        <w:tc>
          <w:tcPr>
            <w:tcW w:w="1559" w:type="dxa"/>
            <w:vMerge/>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
                <w:sz w:val="20"/>
                <w:szCs w:val="20"/>
                <w:lang w:eastAsia="fr-FR"/>
              </w:rPr>
            </w:pPr>
          </w:p>
        </w:tc>
        <w:tc>
          <w:tcPr>
            <w:tcW w:w="1559" w:type="dxa"/>
            <w:vMerge/>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Cs w:val="0"/>
                <w:sz w:val="20"/>
                <w:szCs w:val="20"/>
                <w:lang w:eastAsia="fr-FR"/>
              </w:rPr>
            </w:pPr>
          </w:p>
        </w:tc>
      </w:tr>
      <w:tr w:rsidR="00B82F1C" w:rsidRPr="00B82F1C" w:rsidTr="007A1580">
        <w:trPr>
          <w:trHeight w:val="780"/>
        </w:trPr>
        <w:tc>
          <w:tcPr>
            <w:tcW w:w="2425" w:type="dxa"/>
            <w:vMerge/>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
                <w:color w:val="auto"/>
                <w:lang w:eastAsia="fr-FR"/>
              </w:rPr>
            </w:pPr>
          </w:p>
        </w:tc>
        <w:tc>
          <w:tcPr>
            <w:tcW w:w="2268" w:type="dxa"/>
            <w:tcBorders>
              <w:top w:val="nil"/>
              <w:left w:val="nil"/>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Cs w:val="0"/>
                <w:i/>
                <w:iCs/>
                <w:color w:val="auto"/>
                <w:sz w:val="20"/>
                <w:szCs w:val="20"/>
                <w:lang w:eastAsia="fr-FR"/>
              </w:rPr>
            </w:pPr>
            <w:r w:rsidRPr="00B82F1C">
              <w:rPr>
                <w:rFonts w:eastAsia="Times New Roman"/>
                <w:bCs w:val="0"/>
                <w:i/>
                <w:iCs/>
                <w:color w:val="auto"/>
                <w:sz w:val="20"/>
                <w:szCs w:val="20"/>
                <w:lang w:eastAsia="fr-FR"/>
              </w:rPr>
              <w:t>Agence de sécurité sociale</w:t>
            </w:r>
          </w:p>
        </w:tc>
        <w:tc>
          <w:tcPr>
            <w:tcW w:w="141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693,18</w:t>
            </w:r>
          </w:p>
        </w:tc>
        <w:tc>
          <w:tcPr>
            <w:tcW w:w="1559" w:type="dxa"/>
            <w:vMerge/>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
                <w:sz w:val="20"/>
                <w:szCs w:val="20"/>
                <w:lang w:eastAsia="fr-FR"/>
              </w:rPr>
            </w:pPr>
          </w:p>
        </w:tc>
        <w:tc>
          <w:tcPr>
            <w:tcW w:w="1559" w:type="dxa"/>
            <w:vMerge/>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Cs w:val="0"/>
                <w:sz w:val="20"/>
                <w:szCs w:val="20"/>
                <w:lang w:eastAsia="fr-FR"/>
              </w:rPr>
            </w:pPr>
          </w:p>
        </w:tc>
      </w:tr>
      <w:tr w:rsidR="00B82F1C" w:rsidRPr="00B82F1C" w:rsidTr="007A1580">
        <w:trPr>
          <w:trHeight w:val="743"/>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
                <w:color w:val="auto"/>
                <w:lang w:eastAsia="fr-FR"/>
              </w:rPr>
            </w:pPr>
            <w:r w:rsidRPr="00B82F1C">
              <w:rPr>
                <w:rFonts w:eastAsia="Times New Roman"/>
                <w:b/>
                <w:color w:val="auto"/>
                <w:sz w:val="22"/>
                <w:szCs w:val="22"/>
                <w:lang w:eastAsia="fr-FR"/>
              </w:rPr>
              <w:t>Sociétés d'assurance</w:t>
            </w:r>
          </w:p>
        </w:tc>
        <w:tc>
          <w:tcPr>
            <w:tcW w:w="2268" w:type="dxa"/>
            <w:tcBorders>
              <w:top w:val="nil"/>
              <w:left w:val="nil"/>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Cs w:val="0"/>
                <w:i/>
                <w:iCs/>
                <w:color w:val="auto"/>
                <w:sz w:val="20"/>
                <w:szCs w:val="20"/>
                <w:lang w:eastAsia="fr-FR"/>
              </w:rPr>
            </w:pPr>
            <w:r w:rsidRPr="00B82F1C">
              <w:rPr>
                <w:rFonts w:eastAsia="Times New Roman"/>
                <w:bCs w:val="0"/>
                <w:i/>
                <w:iCs/>
                <w:color w:val="auto"/>
                <w:sz w:val="20"/>
                <w:szCs w:val="20"/>
                <w:lang w:eastAsia="fr-FR"/>
              </w:rPr>
              <w:t>Sociétés d'assurances commerciales</w:t>
            </w:r>
          </w:p>
        </w:tc>
        <w:tc>
          <w:tcPr>
            <w:tcW w:w="141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2585,51</w:t>
            </w:r>
          </w:p>
        </w:tc>
        <w:tc>
          <w:tcPr>
            <w:tcW w:w="1559"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2585,51</w:t>
            </w:r>
          </w:p>
        </w:tc>
        <w:tc>
          <w:tcPr>
            <w:tcW w:w="1559"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sz w:val="20"/>
                <w:szCs w:val="20"/>
                <w:lang w:eastAsia="fr-FR"/>
              </w:rPr>
            </w:pPr>
            <w:r w:rsidRPr="00B82F1C">
              <w:rPr>
                <w:rFonts w:eastAsia="Times New Roman"/>
                <w:bCs w:val="0"/>
                <w:sz w:val="20"/>
                <w:szCs w:val="20"/>
                <w:lang w:eastAsia="fr-FR"/>
              </w:rPr>
              <w:t>0,6</w:t>
            </w:r>
            <w:r w:rsidR="007C465C">
              <w:rPr>
                <w:rFonts w:eastAsia="Times New Roman"/>
                <w:bCs w:val="0"/>
                <w:sz w:val="20"/>
                <w:szCs w:val="20"/>
                <w:lang w:eastAsia="fr-FR"/>
              </w:rPr>
              <w:t>4</w:t>
            </w:r>
          </w:p>
        </w:tc>
      </w:tr>
      <w:tr w:rsidR="00B82F1C" w:rsidRPr="00B82F1C" w:rsidTr="007A1580">
        <w:trPr>
          <w:trHeight w:val="1035"/>
        </w:trPr>
        <w:tc>
          <w:tcPr>
            <w:tcW w:w="2425" w:type="dxa"/>
            <w:vMerge w:val="restart"/>
            <w:tcBorders>
              <w:top w:val="nil"/>
              <w:left w:val="single" w:sz="8" w:space="0" w:color="auto"/>
              <w:bottom w:val="single" w:sz="8" w:space="0" w:color="000000"/>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
                <w:color w:val="auto"/>
                <w:lang w:eastAsia="fr-FR"/>
              </w:rPr>
            </w:pPr>
            <w:r w:rsidRPr="00B82F1C">
              <w:rPr>
                <w:rFonts w:eastAsia="Times New Roman"/>
                <w:b/>
                <w:color w:val="auto"/>
                <w:sz w:val="22"/>
                <w:szCs w:val="22"/>
                <w:lang w:eastAsia="fr-FR"/>
              </w:rPr>
              <w:t>Sociétés (hors sociétés d'assurances) (part de HF.RI.1.2)</w:t>
            </w:r>
          </w:p>
        </w:tc>
        <w:tc>
          <w:tcPr>
            <w:tcW w:w="2268" w:type="dxa"/>
            <w:tcBorders>
              <w:top w:val="nil"/>
              <w:left w:val="nil"/>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Cs w:val="0"/>
                <w:i/>
                <w:iCs/>
                <w:color w:val="auto"/>
                <w:sz w:val="20"/>
                <w:szCs w:val="20"/>
                <w:lang w:eastAsia="fr-FR"/>
              </w:rPr>
            </w:pPr>
            <w:r w:rsidRPr="00B82F1C">
              <w:rPr>
                <w:rFonts w:eastAsia="Times New Roman"/>
                <w:bCs w:val="0"/>
                <w:i/>
                <w:iCs/>
                <w:color w:val="auto"/>
                <w:sz w:val="20"/>
                <w:szCs w:val="20"/>
                <w:lang w:eastAsia="fr-FR"/>
              </w:rPr>
              <w:t>Sociétés de gestion de la santé et de prestataires</w:t>
            </w:r>
          </w:p>
        </w:tc>
        <w:tc>
          <w:tcPr>
            <w:tcW w:w="141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11,61</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
                <w:sz w:val="20"/>
                <w:szCs w:val="20"/>
                <w:lang w:eastAsia="fr-FR"/>
              </w:rPr>
            </w:pPr>
            <w:r w:rsidRPr="00B82F1C">
              <w:rPr>
                <w:rFonts w:eastAsia="Times New Roman"/>
                <w:b/>
                <w:sz w:val="20"/>
                <w:szCs w:val="20"/>
                <w:lang w:eastAsia="fr-FR"/>
              </w:rPr>
              <w:t>1262,39</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sz w:val="20"/>
                <w:szCs w:val="20"/>
                <w:lang w:eastAsia="fr-FR"/>
              </w:rPr>
            </w:pPr>
            <w:r w:rsidRPr="00B82F1C">
              <w:rPr>
                <w:rFonts w:eastAsia="Times New Roman"/>
                <w:bCs w:val="0"/>
                <w:sz w:val="20"/>
                <w:szCs w:val="20"/>
                <w:lang w:eastAsia="fr-FR"/>
              </w:rPr>
              <w:t>0,3</w:t>
            </w:r>
            <w:r w:rsidR="007C465C">
              <w:rPr>
                <w:rFonts w:eastAsia="Times New Roman"/>
                <w:bCs w:val="0"/>
                <w:sz w:val="20"/>
                <w:szCs w:val="20"/>
                <w:lang w:eastAsia="fr-FR"/>
              </w:rPr>
              <w:t>1</w:t>
            </w:r>
          </w:p>
        </w:tc>
      </w:tr>
      <w:tr w:rsidR="00B82F1C" w:rsidRPr="00B82F1C" w:rsidTr="007A1580">
        <w:trPr>
          <w:trHeight w:val="911"/>
        </w:trPr>
        <w:tc>
          <w:tcPr>
            <w:tcW w:w="2425" w:type="dxa"/>
            <w:vMerge/>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
                <w:color w:val="auto"/>
                <w:lang w:eastAsia="fr-FR"/>
              </w:rPr>
            </w:pPr>
          </w:p>
        </w:tc>
        <w:tc>
          <w:tcPr>
            <w:tcW w:w="2268" w:type="dxa"/>
            <w:tcBorders>
              <w:top w:val="nil"/>
              <w:left w:val="nil"/>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Cs w:val="0"/>
                <w:i/>
                <w:iCs/>
                <w:color w:val="auto"/>
                <w:sz w:val="20"/>
                <w:szCs w:val="20"/>
                <w:lang w:eastAsia="fr-FR"/>
              </w:rPr>
            </w:pPr>
            <w:r w:rsidRPr="00B82F1C">
              <w:rPr>
                <w:rFonts w:eastAsia="Times New Roman"/>
                <w:bCs w:val="0"/>
                <w:i/>
                <w:iCs/>
                <w:color w:val="auto"/>
                <w:sz w:val="20"/>
                <w:szCs w:val="20"/>
                <w:lang w:eastAsia="fr-FR"/>
              </w:rPr>
              <w:t>Sociétés (hors prestataires de services de santé)</w:t>
            </w:r>
          </w:p>
        </w:tc>
        <w:tc>
          <w:tcPr>
            <w:tcW w:w="141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1250,78</w:t>
            </w:r>
          </w:p>
        </w:tc>
        <w:tc>
          <w:tcPr>
            <w:tcW w:w="1559" w:type="dxa"/>
            <w:vMerge/>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
                <w:sz w:val="20"/>
                <w:szCs w:val="20"/>
                <w:lang w:eastAsia="fr-FR"/>
              </w:rPr>
            </w:pPr>
          </w:p>
        </w:tc>
        <w:tc>
          <w:tcPr>
            <w:tcW w:w="1559" w:type="dxa"/>
            <w:vMerge/>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Cs w:val="0"/>
                <w:sz w:val="20"/>
                <w:szCs w:val="20"/>
                <w:lang w:eastAsia="fr-FR"/>
              </w:rPr>
            </w:pPr>
          </w:p>
        </w:tc>
      </w:tr>
      <w:tr w:rsidR="00B82F1C" w:rsidRPr="00B82F1C" w:rsidTr="007A1580">
        <w:trPr>
          <w:trHeight w:val="1109"/>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
                <w:color w:val="auto"/>
                <w:lang w:eastAsia="fr-FR"/>
              </w:rPr>
            </w:pPr>
            <w:r w:rsidRPr="00B82F1C">
              <w:rPr>
                <w:rFonts w:eastAsia="Times New Roman"/>
                <w:b/>
                <w:color w:val="auto"/>
                <w:sz w:val="22"/>
                <w:szCs w:val="22"/>
                <w:lang w:eastAsia="fr-FR"/>
              </w:rPr>
              <w:t>Institutions sans but lucratif au service des ménages (ISBLSM)</w:t>
            </w:r>
          </w:p>
        </w:tc>
        <w:tc>
          <w:tcPr>
            <w:tcW w:w="2268" w:type="dxa"/>
            <w:tcBorders>
              <w:top w:val="nil"/>
              <w:left w:val="nil"/>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Cs w:val="0"/>
                <w:color w:val="auto"/>
                <w:sz w:val="20"/>
                <w:szCs w:val="20"/>
                <w:lang w:eastAsia="fr-FR"/>
              </w:rPr>
            </w:pPr>
            <w:r w:rsidRPr="00B82F1C">
              <w:rPr>
                <w:rFonts w:eastAsia="Times New Roman"/>
                <w:bCs w:val="0"/>
                <w:color w:val="auto"/>
                <w:sz w:val="20"/>
                <w:szCs w:val="20"/>
                <w:lang w:eastAsia="fr-FR"/>
              </w:rPr>
              <w:t> </w:t>
            </w:r>
          </w:p>
        </w:tc>
        <w:tc>
          <w:tcPr>
            <w:tcW w:w="141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105423,95</w:t>
            </w:r>
          </w:p>
        </w:tc>
        <w:tc>
          <w:tcPr>
            <w:tcW w:w="1559"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105423,95</w:t>
            </w:r>
          </w:p>
        </w:tc>
        <w:tc>
          <w:tcPr>
            <w:tcW w:w="1559"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7C465C">
            <w:pPr>
              <w:autoSpaceDE/>
              <w:autoSpaceDN/>
              <w:adjustRightInd/>
              <w:spacing w:after="0" w:line="240" w:lineRule="auto"/>
              <w:jc w:val="center"/>
              <w:rPr>
                <w:rFonts w:eastAsia="Times New Roman"/>
                <w:bCs w:val="0"/>
                <w:sz w:val="20"/>
                <w:szCs w:val="20"/>
                <w:lang w:eastAsia="fr-FR"/>
              </w:rPr>
            </w:pPr>
            <w:r w:rsidRPr="00B82F1C">
              <w:rPr>
                <w:rFonts w:eastAsia="Times New Roman"/>
                <w:bCs w:val="0"/>
                <w:sz w:val="20"/>
                <w:szCs w:val="20"/>
                <w:lang w:eastAsia="fr-FR"/>
              </w:rPr>
              <w:t>2</w:t>
            </w:r>
            <w:r w:rsidR="007C465C">
              <w:rPr>
                <w:rFonts w:eastAsia="Times New Roman"/>
                <w:bCs w:val="0"/>
                <w:sz w:val="20"/>
                <w:szCs w:val="20"/>
                <w:lang w:eastAsia="fr-FR"/>
              </w:rPr>
              <w:t>6</w:t>
            </w:r>
            <w:r w:rsidRPr="00B82F1C">
              <w:rPr>
                <w:rFonts w:eastAsia="Times New Roman"/>
                <w:bCs w:val="0"/>
                <w:sz w:val="20"/>
                <w:szCs w:val="20"/>
                <w:lang w:eastAsia="fr-FR"/>
              </w:rPr>
              <w:t>,2</w:t>
            </w:r>
            <w:r w:rsidR="007C465C">
              <w:rPr>
                <w:rFonts w:eastAsia="Times New Roman"/>
                <w:bCs w:val="0"/>
                <w:sz w:val="20"/>
                <w:szCs w:val="20"/>
                <w:lang w:eastAsia="fr-FR"/>
              </w:rPr>
              <w:t>7</w:t>
            </w:r>
          </w:p>
        </w:tc>
      </w:tr>
      <w:tr w:rsidR="00B82F1C" w:rsidRPr="00B82F1C" w:rsidTr="007A1580">
        <w:trPr>
          <w:trHeight w:val="561"/>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
                <w:color w:val="auto"/>
                <w:lang w:eastAsia="fr-FR"/>
              </w:rPr>
            </w:pPr>
            <w:r w:rsidRPr="00B82F1C">
              <w:rPr>
                <w:rFonts w:eastAsia="Times New Roman"/>
                <w:b/>
                <w:color w:val="auto"/>
                <w:sz w:val="22"/>
                <w:szCs w:val="22"/>
                <w:lang w:eastAsia="fr-FR"/>
              </w:rPr>
              <w:t xml:space="preserve">Ménages </w:t>
            </w:r>
          </w:p>
        </w:tc>
        <w:tc>
          <w:tcPr>
            <w:tcW w:w="2268" w:type="dxa"/>
            <w:tcBorders>
              <w:top w:val="nil"/>
              <w:left w:val="nil"/>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Cs w:val="0"/>
                <w:i/>
                <w:iCs/>
                <w:color w:val="auto"/>
                <w:sz w:val="20"/>
                <w:szCs w:val="20"/>
                <w:lang w:eastAsia="fr-FR"/>
              </w:rPr>
            </w:pPr>
            <w:r w:rsidRPr="00B82F1C">
              <w:rPr>
                <w:rFonts w:eastAsia="Times New Roman"/>
                <w:bCs w:val="0"/>
                <w:i/>
                <w:iCs/>
                <w:color w:val="auto"/>
                <w:sz w:val="20"/>
                <w:szCs w:val="20"/>
                <w:lang w:eastAsia="fr-FR"/>
              </w:rPr>
              <w:t> </w:t>
            </w:r>
          </w:p>
        </w:tc>
        <w:tc>
          <w:tcPr>
            <w:tcW w:w="141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189 034,03</w:t>
            </w:r>
          </w:p>
        </w:tc>
        <w:tc>
          <w:tcPr>
            <w:tcW w:w="1559"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
                <w:sz w:val="20"/>
                <w:szCs w:val="20"/>
                <w:lang w:eastAsia="fr-FR"/>
              </w:rPr>
            </w:pPr>
            <w:r w:rsidRPr="00B82F1C">
              <w:rPr>
                <w:rFonts w:eastAsia="Times New Roman"/>
                <w:b/>
                <w:sz w:val="20"/>
                <w:szCs w:val="20"/>
                <w:lang w:eastAsia="fr-FR"/>
              </w:rPr>
              <w:t>189 034,03</w:t>
            </w:r>
          </w:p>
        </w:tc>
        <w:tc>
          <w:tcPr>
            <w:tcW w:w="1559"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sz w:val="20"/>
                <w:szCs w:val="20"/>
                <w:lang w:eastAsia="fr-FR"/>
              </w:rPr>
            </w:pPr>
            <w:r w:rsidRPr="00B82F1C">
              <w:rPr>
                <w:rFonts w:eastAsia="Times New Roman"/>
                <w:bCs w:val="0"/>
                <w:sz w:val="20"/>
                <w:szCs w:val="20"/>
                <w:lang w:eastAsia="fr-FR"/>
              </w:rPr>
              <w:t>47,</w:t>
            </w:r>
            <w:r w:rsidR="007C465C">
              <w:rPr>
                <w:rFonts w:eastAsia="Times New Roman"/>
                <w:bCs w:val="0"/>
                <w:sz w:val="20"/>
                <w:szCs w:val="20"/>
                <w:lang w:eastAsia="fr-FR"/>
              </w:rPr>
              <w:t>11</w:t>
            </w:r>
          </w:p>
        </w:tc>
      </w:tr>
      <w:tr w:rsidR="00B82F1C" w:rsidRPr="00B82F1C" w:rsidTr="007A1580">
        <w:trPr>
          <w:trHeight w:val="684"/>
        </w:trPr>
        <w:tc>
          <w:tcPr>
            <w:tcW w:w="2425" w:type="dxa"/>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
                <w:color w:val="auto"/>
                <w:lang w:eastAsia="fr-FR"/>
              </w:rPr>
            </w:pPr>
          </w:p>
        </w:tc>
        <w:tc>
          <w:tcPr>
            <w:tcW w:w="2268" w:type="dxa"/>
            <w:tcBorders>
              <w:top w:val="nil"/>
              <w:left w:val="nil"/>
              <w:bottom w:val="single" w:sz="8" w:space="0" w:color="auto"/>
              <w:right w:val="single" w:sz="8" w:space="0" w:color="auto"/>
            </w:tcBorders>
            <w:shd w:val="clear" w:color="auto" w:fill="auto"/>
            <w:vAlign w:val="center"/>
            <w:hideMark/>
          </w:tcPr>
          <w:p w:rsidR="00B82F1C" w:rsidRPr="00B82F1C" w:rsidRDefault="00B82F1C" w:rsidP="00B82F1C">
            <w:pPr>
              <w:autoSpaceDE/>
              <w:autoSpaceDN/>
              <w:adjustRightInd/>
              <w:spacing w:after="0" w:line="240" w:lineRule="auto"/>
              <w:jc w:val="left"/>
              <w:rPr>
                <w:rFonts w:eastAsia="Times New Roman"/>
                <w:bCs w:val="0"/>
                <w:i/>
                <w:iCs/>
                <w:color w:val="auto"/>
                <w:sz w:val="20"/>
                <w:szCs w:val="20"/>
                <w:lang w:eastAsia="fr-FR"/>
              </w:rPr>
            </w:pPr>
            <w:r w:rsidRPr="00B82F1C">
              <w:rPr>
                <w:rFonts w:eastAsia="Times New Roman"/>
                <w:bCs w:val="0"/>
                <w:i/>
                <w:iCs/>
                <w:color w:val="auto"/>
                <w:sz w:val="20"/>
                <w:szCs w:val="20"/>
                <w:lang w:eastAsia="fr-FR"/>
              </w:rPr>
              <w:t>Gouvernements étrangers</w:t>
            </w:r>
          </w:p>
        </w:tc>
        <w:tc>
          <w:tcPr>
            <w:tcW w:w="141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i/>
                <w:iCs/>
                <w:color w:val="auto"/>
                <w:sz w:val="20"/>
                <w:szCs w:val="20"/>
                <w:lang w:eastAsia="fr-FR"/>
              </w:rPr>
            </w:pPr>
            <w:r w:rsidRPr="00B82F1C">
              <w:rPr>
                <w:rFonts w:eastAsia="Times New Roman"/>
                <w:bCs w:val="0"/>
                <w:i/>
                <w:iCs/>
                <w:color w:val="auto"/>
                <w:sz w:val="20"/>
                <w:szCs w:val="20"/>
                <w:lang w:eastAsia="fr-FR"/>
              </w:rPr>
              <w:t> </w:t>
            </w:r>
          </w:p>
        </w:tc>
        <w:tc>
          <w:tcPr>
            <w:tcW w:w="1559" w:type="dxa"/>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
                <w:sz w:val="20"/>
                <w:szCs w:val="20"/>
                <w:lang w:eastAsia="fr-FR"/>
              </w:rPr>
            </w:pPr>
          </w:p>
        </w:tc>
        <w:tc>
          <w:tcPr>
            <w:tcW w:w="1559" w:type="dxa"/>
            <w:tcBorders>
              <w:top w:val="nil"/>
              <w:left w:val="single" w:sz="8" w:space="0" w:color="auto"/>
              <w:bottom w:val="single" w:sz="8" w:space="0" w:color="000000"/>
              <w:right w:val="single" w:sz="8" w:space="0" w:color="auto"/>
            </w:tcBorders>
            <w:vAlign w:val="center"/>
            <w:hideMark/>
          </w:tcPr>
          <w:p w:rsidR="00B82F1C" w:rsidRPr="00B82F1C" w:rsidRDefault="00B82F1C" w:rsidP="00B82F1C">
            <w:pPr>
              <w:autoSpaceDE/>
              <w:autoSpaceDN/>
              <w:adjustRightInd/>
              <w:spacing w:after="0" w:line="240" w:lineRule="auto"/>
              <w:jc w:val="left"/>
              <w:rPr>
                <w:rFonts w:eastAsia="Times New Roman"/>
                <w:bCs w:val="0"/>
                <w:sz w:val="20"/>
                <w:szCs w:val="20"/>
                <w:lang w:eastAsia="fr-FR"/>
              </w:rPr>
            </w:pPr>
          </w:p>
        </w:tc>
      </w:tr>
      <w:tr w:rsidR="00B82F1C" w:rsidRPr="00B82F1C" w:rsidTr="007A1580">
        <w:trPr>
          <w:trHeight w:val="761"/>
        </w:trPr>
        <w:tc>
          <w:tcPr>
            <w:tcW w:w="2425" w:type="dxa"/>
            <w:tcBorders>
              <w:top w:val="nil"/>
              <w:left w:val="single" w:sz="8" w:space="0" w:color="auto"/>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left"/>
              <w:rPr>
                <w:rFonts w:eastAsia="Times New Roman"/>
                <w:b/>
                <w:color w:val="auto"/>
                <w:lang w:eastAsia="fr-FR"/>
              </w:rPr>
            </w:pPr>
            <w:r w:rsidRPr="00B82F1C">
              <w:rPr>
                <w:rFonts w:eastAsia="Times New Roman"/>
                <w:b/>
                <w:color w:val="auto"/>
                <w:sz w:val="22"/>
                <w:szCs w:val="22"/>
                <w:lang w:eastAsia="fr-FR"/>
              </w:rPr>
              <w:t>Total</w:t>
            </w:r>
          </w:p>
        </w:tc>
        <w:tc>
          <w:tcPr>
            <w:tcW w:w="226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left"/>
              <w:rPr>
                <w:rFonts w:eastAsia="Times New Roman"/>
                <w:bCs w:val="0"/>
                <w:color w:val="auto"/>
                <w:sz w:val="20"/>
                <w:szCs w:val="20"/>
                <w:lang w:eastAsia="fr-FR"/>
              </w:rPr>
            </w:pPr>
            <w:r w:rsidRPr="00B82F1C">
              <w:rPr>
                <w:rFonts w:eastAsia="Times New Roman"/>
                <w:bCs w:val="0"/>
                <w:color w:val="auto"/>
                <w:sz w:val="20"/>
                <w:szCs w:val="20"/>
                <w:lang w:eastAsia="fr-FR"/>
              </w:rPr>
              <w:t> </w:t>
            </w:r>
          </w:p>
        </w:tc>
        <w:tc>
          <w:tcPr>
            <w:tcW w:w="1418"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left"/>
              <w:rPr>
                <w:rFonts w:ascii="Calibri" w:eastAsia="Times New Roman" w:hAnsi="Calibri"/>
                <w:bCs w:val="0"/>
                <w:lang w:eastAsia="fr-FR"/>
              </w:rPr>
            </w:pPr>
            <w:r w:rsidRPr="00B82F1C">
              <w:rPr>
                <w:rFonts w:ascii="Calibri" w:eastAsia="Times New Roman" w:hAnsi="Calibri"/>
                <w:bCs w:val="0"/>
                <w:sz w:val="22"/>
                <w:szCs w:val="22"/>
                <w:lang w:eastAsia="fr-FR"/>
              </w:rPr>
              <w:t> </w:t>
            </w:r>
          </w:p>
        </w:tc>
        <w:tc>
          <w:tcPr>
            <w:tcW w:w="1559"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
                <w:sz w:val="20"/>
                <w:szCs w:val="20"/>
                <w:lang w:eastAsia="fr-FR"/>
              </w:rPr>
            </w:pPr>
            <w:r w:rsidRPr="00B82F1C">
              <w:rPr>
                <w:rFonts w:eastAsia="Times New Roman"/>
                <w:b/>
                <w:sz w:val="20"/>
                <w:szCs w:val="20"/>
                <w:lang w:eastAsia="fr-FR"/>
              </w:rPr>
              <w:t>401 310,37</w:t>
            </w:r>
          </w:p>
        </w:tc>
        <w:tc>
          <w:tcPr>
            <w:tcW w:w="1559" w:type="dxa"/>
            <w:tcBorders>
              <w:top w:val="nil"/>
              <w:left w:val="nil"/>
              <w:bottom w:val="single" w:sz="8" w:space="0" w:color="auto"/>
              <w:right w:val="single" w:sz="8" w:space="0" w:color="auto"/>
            </w:tcBorders>
            <w:shd w:val="clear" w:color="auto" w:fill="auto"/>
            <w:noWrap/>
            <w:vAlign w:val="center"/>
            <w:hideMark/>
          </w:tcPr>
          <w:p w:rsidR="00B82F1C" w:rsidRPr="00B82F1C" w:rsidRDefault="00B82F1C" w:rsidP="00B82F1C">
            <w:pPr>
              <w:autoSpaceDE/>
              <w:autoSpaceDN/>
              <w:adjustRightInd/>
              <w:spacing w:after="0" w:line="240" w:lineRule="auto"/>
              <w:jc w:val="center"/>
              <w:rPr>
                <w:rFonts w:eastAsia="Times New Roman"/>
                <w:bCs w:val="0"/>
                <w:sz w:val="20"/>
                <w:szCs w:val="20"/>
                <w:lang w:eastAsia="fr-FR"/>
              </w:rPr>
            </w:pPr>
            <w:r w:rsidRPr="00B82F1C">
              <w:rPr>
                <w:rFonts w:eastAsia="Times New Roman"/>
                <w:bCs w:val="0"/>
                <w:sz w:val="20"/>
                <w:szCs w:val="20"/>
                <w:lang w:eastAsia="fr-FR"/>
              </w:rPr>
              <w:t>100</w:t>
            </w:r>
          </w:p>
        </w:tc>
      </w:tr>
    </w:tbl>
    <w:p w:rsidR="000815EE" w:rsidRDefault="000815EE" w:rsidP="00F157C4">
      <w:pPr>
        <w:spacing w:line="312" w:lineRule="auto"/>
        <w:rPr>
          <w:lang w:eastAsia="en-US"/>
        </w:rPr>
      </w:pPr>
    </w:p>
    <w:p w:rsidR="00B82F1C" w:rsidRDefault="00B82F1C" w:rsidP="00F157C4">
      <w:pPr>
        <w:spacing w:line="312" w:lineRule="auto"/>
        <w:rPr>
          <w:lang w:eastAsia="en-US"/>
        </w:rPr>
      </w:pPr>
    </w:p>
    <w:p w:rsidR="00B82F1C" w:rsidRDefault="00B82F1C" w:rsidP="00F157C4">
      <w:pPr>
        <w:spacing w:line="312" w:lineRule="auto"/>
        <w:rPr>
          <w:lang w:eastAsia="en-US"/>
        </w:rPr>
      </w:pPr>
    </w:p>
    <w:p w:rsidR="00E36B0E" w:rsidRPr="0044670F" w:rsidRDefault="00921987" w:rsidP="00171962">
      <w:pPr>
        <w:spacing w:before="240" w:line="312" w:lineRule="auto"/>
        <w:rPr>
          <w:lang w:eastAsia="en-US"/>
        </w:rPr>
      </w:pPr>
      <w:r>
        <w:rPr>
          <w:lang w:eastAsia="en-US"/>
        </w:rPr>
        <w:t>L</w:t>
      </w:r>
      <w:r w:rsidR="00E36B0E" w:rsidRPr="0044670F">
        <w:rPr>
          <w:lang w:eastAsia="en-US"/>
        </w:rPr>
        <w:t xml:space="preserve">e tableau </w:t>
      </w:r>
      <w:r w:rsidR="00693699">
        <w:rPr>
          <w:lang w:eastAsia="en-US"/>
        </w:rPr>
        <w:t>3.</w:t>
      </w:r>
      <w:r>
        <w:rPr>
          <w:lang w:eastAsia="en-US"/>
        </w:rPr>
        <w:t>1.</w:t>
      </w:r>
      <w:r w:rsidR="00E36B0E" w:rsidRPr="0044670F">
        <w:rPr>
          <w:lang w:eastAsia="en-US"/>
        </w:rPr>
        <w:t xml:space="preserve">4 montre que ce sont les ménages qui ont géré la plus importante part des dépenses courantes de santé avec </w:t>
      </w:r>
      <w:r w:rsidR="000815EE">
        <w:rPr>
          <w:lang w:eastAsia="en-US"/>
        </w:rPr>
        <w:t>47</w:t>
      </w:r>
      <w:r w:rsidR="00E36B0E" w:rsidRPr="0044670F">
        <w:rPr>
          <w:lang w:eastAsia="en-US"/>
        </w:rPr>
        <w:t>,</w:t>
      </w:r>
      <w:r w:rsidR="00C261C5">
        <w:rPr>
          <w:lang w:eastAsia="en-US"/>
        </w:rPr>
        <w:t>1</w:t>
      </w:r>
      <w:r w:rsidR="006F32D4">
        <w:rPr>
          <w:lang w:eastAsia="en-US"/>
        </w:rPr>
        <w:t>0</w:t>
      </w:r>
      <w:r w:rsidR="00E36B0E" w:rsidRPr="0044670F">
        <w:rPr>
          <w:lang w:eastAsia="en-US"/>
        </w:rPr>
        <w:t xml:space="preserve"> %, puis </w:t>
      </w:r>
      <w:r w:rsidR="000815EE">
        <w:rPr>
          <w:lang w:eastAsia="en-US"/>
        </w:rPr>
        <w:t>viennent l</w:t>
      </w:r>
      <w:r w:rsidR="00E36B0E" w:rsidRPr="0044670F">
        <w:rPr>
          <w:lang w:eastAsia="en-US"/>
        </w:rPr>
        <w:t>es Institution</w:t>
      </w:r>
      <w:r w:rsidR="000815EE">
        <w:rPr>
          <w:lang w:eastAsia="en-US"/>
        </w:rPr>
        <w:t>s</w:t>
      </w:r>
      <w:r w:rsidR="00E36B0E" w:rsidRPr="0044670F">
        <w:rPr>
          <w:lang w:eastAsia="en-US"/>
        </w:rPr>
        <w:t xml:space="preserve"> sans but lucratif au service des ménages </w:t>
      </w:r>
      <w:r w:rsidR="000815EE">
        <w:rPr>
          <w:lang w:eastAsia="en-US"/>
        </w:rPr>
        <w:t xml:space="preserve">avec </w:t>
      </w:r>
      <w:r w:rsidR="00667CAA">
        <w:rPr>
          <w:lang w:eastAsia="en-US"/>
        </w:rPr>
        <w:t>26</w:t>
      </w:r>
      <w:r w:rsidR="000815EE">
        <w:rPr>
          <w:lang w:eastAsia="en-US"/>
        </w:rPr>
        <w:t>,2</w:t>
      </w:r>
      <w:r w:rsidR="00667CAA">
        <w:rPr>
          <w:lang w:eastAsia="en-US"/>
        </w:rPr>
        <w:t>7</w:t>
      </w:r>
      <w:r w:rsidR="000815EE">
        <w:rPr>
          <w:lang w:eastAsia="en-US"/>
        </w:rPr>
        <w:t xml:space="preserve"> %</w:t>
      </w:r>
      <w:r w:rsidR="00E36B0E" w:rsidRPr="0044670F">
        <w:rPr>
          <w:lang w:eastAsia="en-US"/>
        </w:rPr>
        <w:t>.</w:t>
      </w:r>
      <w:r w:rsidR="000815EE">
        <w:rPr>
          <w:lang w:eastAsia="en-US"/>
        </w:rPr>
        <w:t xml:space="preserve">Les </w:t>
      </w:r>
      <w:r w:rsidR="000815EE" w:rsidRPr="0044670F">
        <w:rPr>
          <w:lang w:eastAsia="en-US"/>
        </w:rPr>
        <w:t>administration</w:t>
      </w:r>
      <w:r w:rsidR="000815EE">
        <w:rPr>
          <w:lang w:eastAsia="en-US"/>
        </w:rPr>
        <w:t>s</w:t>
      </w:r>
      <w:r w:rsidR="000815EE" w:rsidRPr="0044670F">
        <w:rPr>
          <w:lang w:eastAsia="en-US"/>
        </w:rPr>
        <w:t xml:space="preserve"> publique</w:t>
      </w:r>
      <w:r w:rsidR="000815EE">
        <w:rPr>
          <w:lang w:eastAsia="en-US"/>
        </w:rPr>
        <w:t xml:space="preserve">s en ont géré </w:t>
      </w:r>
      <w:r w:rsidR="00667CAA" w:rsidRPr="0044670F">
        <w:rPr>
          <w:lang w:eastAsia="en-US"/>
        </w:rPr>
        <w:t>2</w:t>
      </w:r>
      <w:r w:rsidR="00667CAA">
        <w:rPr>
          <w:lang w:eastAsia="en-US"/>
        </w:rPr>
        <w:t>5</w:t>
      </w:r>
      <w:r w:rsidR="000815EE">
        <w:rPr>
          <w:lang w:eastAsia="en-US"/>
        </w:rPr>
        <w:t>,</w:t>
      </w:r>
      <w:r w:rsidR="00667CAA">
        <w:rPr>
          <w:lang w:eastAsia="en-US"/>
        </w:rPr>
        <w:t>6</w:t>
      </w:r>
      <w:r w:rsidR="00D34B9E">
        <w:rPr>
          <w:lang w:eastAsia="en-US"/>
        </w:rPr>
        <w:t>7</w:t>
      </w:r>
      <w:r w:rsidR="000815EE" w:rsidRPr="0044670F">
        <w:rPr>
          <w:lang w:eastAsia="en-US"/>
        </w:rPr>
        <w:t xml:space="preserve"> %.</w:t>
      </w:r>
    </w:p>
    <w:p w:rsidR="007255C2" w:rsidRDefault="007255C2">
      <w:pPr>
        <w:autoSpaceDE/>
        <w:autoSpaceDN/>
        <w:adjustRightInd/>
        <w:spacing w:after="200" w:line="276" w:lineRule="auto"/>
        <w:jc w:val="left"/>
        <w:rPr>
          <w:highlight w:val="yellow"/>
          <w:lang w:eastAsia="en-US"/>
        </w:rPr>
      </w:pPr>
      <w:r>
        <w:rPr>
          <w:highlight w:val="yellow"/>
          <w:lang w:eastAsia="en-US"/>
        </w:rPr>
        <w:br w:type="page"/>
      </w:r>
    </w:p>
    <w:p w:rsidR="00E36B0E" w:rsidRPr="00A713EE" w:rsidRDefault="00E36B0E" w:rsidP="00A713EE">
      <w:pPr>
        <w:pStyle w:val="Titre4"/>
        <w:numPr>
          <w:ilvl w:val="3"/>
          <w:numId w:val="37"/>
        </w:numPr>
        <w:autoSpaceDE/>
        <w:autoSpaceDN/>
        <w:adjustRightInd/>
        <w:spacing w:after="0" w:line="240" w:lineRule="auto"/>
        <w:jc w:val="left"/>
      </w:pPr>
      <w:r w:rsidRPr="00A713EE">
        <w:t>Dépenses par prestataires de soins de santé</w:t>
      </w:r>
    </w:p>
    <w:p w:rsidR="00A713EE" w:rsidRDefault="00A713EE" w:rsidP="00A713EE">
      <w:pPr>
        <w:spacing w:after="120" w:line="312" w:lineRule="auto"/>
        <w:rPr>
          <w:lang w:eastAsia="en-US"/>
        </w:rPr>
      </w:pPr>
    </w:p>
    <w:p w:rsidR="00E36B0E" w:rsidRPr="0044670F" w:rsidRDefault="002A412D" w:rsidP="00A713EE">
      <w:pPr>
        <w:spacing w:after="120" w:line="312" w:lineRule="auto"/>
        <w:rPr>
          <w:lang w:eastAsia="en-US"/>
        </w:rPr>
      </w:pPr>
      <w:r>
        <w:rPr>
          <w:lang w:eastAsia="en-US"/>
        </w:rPr>
        <w:t>Le tableau 3.</w:t>
      </w:r>
      <w:r w:rsidR="00C3017C">
        <w:rPr>
          <w:lang w:eastAsia="en-US"/>
        </w:rPr>
        <w:t>1.</w:t>
      </w:r>
      <w:r>
        <w:rPr>
          <w:lang w:eastAsia="en-US"/>
        </w:rPr>
        <w:t>5</w:t>
      </w:r>
      <w:r w:rsidR="00E36B0E" w:rsidRPr="0044670F">
        <w:rPr>
          <w:lang w:eastAsia="en-US"/>
        </w:rPr>
        <w:t>  récapitule les dépenses cou</w:t>
      </w:r>
      <w:r w:rsidR="00171962">
        <w:rPr>
          <w:lang w:eastAsia="en-US"/>
        </w:rPr>
        <w:t>rantes de santé par prestataire</w:t>
      </w:r>
      <w:r w:rsidR="00FE2666">
        <w:rPr>
          <w:lang w:eastAsia="en-US"/>
        </w:rPr>
        <w:t>.</w:t>
      </w:r>
    </w:p>
    <w:p w:rsidR="00E36B0E" w:rsidRDefault="00693699" w:rsidP="00693699">
      <w:pPr>
        <w:pStyle w:val="Lgende"/>
        <w:rPr>
          <w:color w:val="000000" w:themeColor="text1"/>
          <w:sz w:val="22"/>
          <w:szCs w:val="22"/>
          <w:lang w:eastAsia="en-US"/>
        </w:rPr>
      </w:pPr>
      <w:bookmarkStart w:id="34" w:name="_Toc483991265"/>
      <w:r w:rsidRPr="002A412D">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3.1</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5</w:t>
      </w:r>
      <w:r w:rsidR="00E72F8E">
        <w:rPr>
          <w:color w:val="000000" w:themeColor="text1"/>
          <w:sz w:val="22"/>
          <w:szCs w:val="22"/>
        </w:rPr>
        <w:fldChar w:fldCharType="end"/>
      </w:r>
      <w:r w:rsidRPr="002A412D">
        <w:rPr>
          <w:b/>
          <w:color w:val="000000" w:themeColor="text1"/>
          <w:sz w:val="22"/>
          <w:szCs w:val="22"/>
          <w:lang w:eastAsia="en-US"/>
        </w:rPr>
        <w:t>:</w:t>
      </w:r>
      <w:r w:rsidRPr="002A412D">
        <w:rPr>
          <w:color w:val="000000" w:themeColor="text1"/>
          <w:sz w:val="22"/>
          <w:szCs w:val="22"/>
          <w:lang w:eastAsia="en-US"/>
        </w:rPr>
        <w:t xml:space="preserve"> R</w:t>
      </w:r>
      <w:r w:rsidR="00E36B0E" w:rsidRPr="002A412D">
        <w:rPr>
          <w:color w:val="000000" w:themeColor="text1"/>
          <w:sz w:val="22"/>
          <w:szCs w:val="22"/>
          <w:lang w:eastAsia="en-US"/>
        </w:rPr>
        <w:t>épartition des dépenses co</w:t>
      </w:r>
      <w:r w:rsidR="00171962" w:rsidRPr="002A412D">
        <w:rPr>
          <w:color w:val="000000" w:themeColor="text1"/>
          <w:sz w:val="22"/>
          <w:szCs w:val="22"/>
          <w:lang w:eastAsia="en-US"/>
        </w:rPr>
        <w:t>urante de santé par prestataire</w:t>
      </w:r>
      <w:r w:rsidR="00000700">
        <w:rPr>
          <w:color w:val="000000" w:themeColor="text1"/>
          <w:sz w:val="22"/>
          <w:szCs w:val="22"/>
          <w:lang w:eastAsia="en-US"/>
        </w:rPr>
        <w:t xml:space="preserve"> (en million de francs CFA)</w:t>
      </w:r>
      <w:bookmarkEnd w:id="34"/>
    </w:p>
    <w:tbl>
      <w:tblPr>
        <w:tblW w:w="10036" w:type="dxa"/>
        <w:tblInd w:w="-214" w:type="dxa"/>
        <w:tblCellMar>
          <w:left w:w="70" w:type="dxa"/>
          <w:right w:w="70" w:type="dxa"/>
        </w:tblCellMar>
        <w:tblLook w:val="04A0"/>
      </w:tblPr>
      <w:tblGrid>
        <w:gridCol w:w="2269"/>
        <w:gridCol w:w="2126"/>
        <w:gridCol w:w="1559"/>
        <w:gridCol w:w="1037"/>
        <w:gridCol w:w="1065"/>
        <w:gridCol w:w="1180"/>
        <w:gridCol w:w="800"/>
      </w:tblGrid>
      <w:tr w:rsidR="001467B3" w:rsidRPr="001467B3" w:rsidTr="006009CF">
        <w:trPr>
          <w:trHeight w:val="300"/>
          <w:tblHeader/>
        </w:trPr>
        <w:tc>
          <w:tcPr>
            <w:tcW w:w="5954" w:type="dxa"/>
            <w:gridSpan w:val="3"/>
            <w:tcBorders>
              <w:top w:val="single" w:sz="8" w:space="0" w:color="auto"/>
              <w:left w:val="single" w:sz="8" w:space="0" w:color="auto"/>
              <w:bottom w:val="single" w:sz="4" w:space="0" w:color="auto"/>
              <w:right w:val="single" w:sz="4" w:space="0" w:color="000000"/>
            </w:tcBorders>
            <w:shd w:val="clear" w:color="000000" w:fill="C0C0C0"/>
            <w:vAlign w:val="center"/>
            <w:hideMark/>
          </w:tcPr>
          <w:p w:rsidR="001467B3" w:rsidRPr="001467B3" w:rsidRDefault="00000700" w:rsidP="001467B3">
            <w:pPr>
              <w:autoSpaceDE/>
              <w:autoSpaceDN/>
              <w:adjustRightInd/>
              <w:spacing w:after="0" w:line="240" w:lineRule="auto"/>
              <w:jc w:val="center"/>
              <w:rPr>
                <w:rFonts w:eastAsia="Times New Roman"/>
                <w:bCs w:val="0"/>
                <w:lang w:eastAsia="fr-FR"/>
              </w:rPr>
            </w:pPr>
            <w:r>
              <w:rPr>
                <w:rFonts w:eastAsia="Times New Roman"/>
                <w:bCs w:val="0"/>
                <w:sz w:val="22"/>
                <w:szCs w:val="22"/>
                <w:lang w:eastAsia="fr-FR"/>
              </w:rPr>
              <w:t>P</w:t>
            </w:r>
            <w:r w:rsidR="001467B3" w:rsidRPr="001467B3">
              <w:rPr>
                <w:rFonts w:eastAsia="Times New Roman"/>
                <w:bCs w:val="0"/>
                <w:sz w:val="22"/>
                <w:szCs w:val="22"/>
                <w:lang w:eastAsia="fr-FR"/>
              </w:rPr>
              <w:t xml:space="preserve">restataires de soins de santé  </w:t>
            </w:r>
          </w:p>
        </w:tc>
        <w:tc>
          <w:tcPr>
            <w:tcW w:w="3282" w:type="dxa"/>
            <w:gridSpan w:val="3"/>
            <w:tcBorders>
              <w:top w:val="single" w:sz="8" w:space="0" w:color="auto"/>
              <w:left w:val="nil"/>
              <w:bottom w:val="single" w:sz="4" w:space="0" w:color="auto"/>
              <w:right w:val="single" w:sz="4" w:space="0" w:color="000000"/>
            </w:tcBorders>
            <w:shd w:val="clear" w:color="000000" w:fill="C0C0C0"/>
            <w:vAlign w:val="center"/>
            <w:hideMark/>
          </w:tcPr>
          <w:p w:rsidR="001467B3" w:rsidRPr="001467B3" w:rsidRDefault="001467B3" w:rsidP="001467B3">
            <w:pPr>
              <w:autoSpaceDE/>
              <w:autoSpaceDN/>
              <w:adjustRightInd/>
              <w:spacing w:after="0" w:line="240" w:lineRule="auto"/>
              <w:jc w:val="center"/>
              <w:rPr>
                <w:rFonts w:eastAsia="Times New Roman"/>
                <w:bCs w:val="0"/>
                <w:lang w:eastAsia="fr-FR"/>
              </w:rPr>
            </w:pPr>
            <w:r w:rsidRPr="001467B3">
              <w:rPr>
                <w:rFonts w:eastAsia="Times New Roman"/>
                <w:bCs w:val="0"/>
                <w:sz w:val="22"/>
                <w:szCs w:val="22"/>
                <w:lang w:eastAsia="fr-FR"/>
              </w:rPr>
              <w:t>Montant en F CFA</w:t>
            </w:r>
          </w:p>
        </w:tc>
        <w:tc>
          <w:tcPr>
            <w:tcW w:w="800" w:type="dxa"/>
            <w:tcBorders>
              <w:top w:val="single" w:sz="8" w:space="0" w:color="auto"/>
              <w:left w:val="nil"/>
              <w:bottom w:val="single" w:sz="4" w:space="0" w:color="auto"/>
              <w:right w:val="single" w:sz="4" w:space="0" w:color="auto"/>
            </w:tcBorders>
            <w:shd w:val="clear" w:color="000000" w:fill="C0C0C0"/>
            <w:vAlign w:val="center"/>
            <w:hideMark/>
          </w:tcPr>
          <w:p w:rsidR="001467B3" w:rsidRPr="001467B3" w:rsidRDefault="001467B3" w:rsidP="001467B3">
            <w:pPr>
              <w:autoSpaceDE/>
              <w:autoSpaceDN/>
              <w:adjustRightInd/>
              <w:spacing w:after="0" w:line="240" w:lineRule="auto"/>
              <w:jc w:val="left"/>
              <w:rPr>
                <w:rFonts w:eastAsia="Times New Roman"/>
                <w:bCs w:val="0"/>
                <w:lang w:eastAsia="fr-FR"/>
              </w:rPr>
            </w:pPr>
            <w:r w:rsidRPr="001467B3">
              <w:rPr>
                <w:rFonts w:eastAsia="Times New Roman"/>
                <w:bCs w:val="0"/>
                <w:sz w:val="22"/>
                <w:szCs w:val="22"/>
                <w:lang w:eastAsia="fr-FR"/>
              </w:rPr>
              <w:t>%</w:t>
            </w:r>
          </w:p>
        </w:tc>
      </w:tr>
      <w:tr w:rsidR="001467B3" w:rsidRPr="001467B3" w:rsidTr="006009CF">
        <w:trPr>
          <w:trHeight w:val="510"/>
        </w:trPr>
        <w:tc>
          <w:tcPr>
            <w:tcW w:w="2269" w:type="dxa"/>
            <w:vMerge w:val="restart"/>
            <w:tcBorders>
              <w:top w:val="nil"/>
              <w:left w:val="single" w:sz="8" w:space="0" w:color="auto"/>
              <w:bottom w:val="single" w:sz="4" w:space="0" w:color="000000"/>
              <w:right w:val="single" w:sz="4" w:space="0" w:color="auto"/>
            </w:tcBorders>
            <w:shd w:val="clear" w:color="auto" w:fill="auto"/>
            <w:vAlign w:val="center"/>
            <w:hideMark/>
          </w:tcPr>
          <w:p w:rsidR="001467B3" w:rsidRPr="001467B3" w:rsidRDefault="001467B3" w:rsidP="001467B3">
            <w:pPr>
              <w:autoSpaceDE/>
              <w:autoSpaceDN/>
              <w:adjustRightInd/>
              <w:spacing w:after="0" w:line="240" w:lineRule="auto"/>
              <w:jc w:val="center"/>
              <w:rPr>
                <w:rFonts w:eastAsia="Times New Roman"/>
                <w:b/>
                <w:color w:val="auto"/>
                <w:lang w:eastAsia="fr-FR"/>
              </w:rPr>
            </w:pPr>
            <w:r w:rsidRPr="001467B3">
              <w:rPr>
                <w:rFonts w:eastAsia="Times New Roman"/>
                <w:b/>
                <w:color w:val="auto"/>
                <w:sz w:val="22"/>
                <w:szCs w:val="22"/>
                <w:lang w:eastAsia="fr-FR"/>
              </w:rPr>
              <w:t>Hôpitaux</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1467B3" w:rsidRPr="001467B3" w:rsidRDefault="001467B3" w:rsidP="001467B3">
            <w:pPr>
              <w:autoSpaceDE/>
              <w:autoSpaceDN/>
              <w:adjustRightInd/>
              <w:spacing w:after="0" w:line="240" w:lineRule="auto"/>
              <w:jc w:val="center"/>
              <w:rPr>
                <w:rFonts w:eastAsia="Times New Roman"/>
                <w:bCs w:val="0"/>
                <w:color w:val="auto"/>
                <w:sz w:val="20"/>
                <w:szCs w:val="20"/>
                <w:lang w:eastAsia="fr-FR"/>
              </w:rPr>
            </w:pPr>
            <w:r w:rsidRPr="001467B3">
              <w:rPr>
                <w:rFonts w:eastAsia="Times New Roman"/>
                <w:bCs w:val="0"/>
                <w:color w:val="auto"/>
                <w:sz w:val="20"/>
                <w:szCs w:val="20"/>
                <w:lang w:eastAsia="fr-FR"/>
              </w:rPr>
              <w:t>Hôpitaux généraux</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Hôpitaux généraux publics</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233283" w:rsidP="0023328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145165,35</w:t>
            </w:r>
          </w:p>
        </w:tc>
        <w:tc>
          <w:tcPr>
            <w:tcW w:w="10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B3" w:rsidRPr="001467B3" w:rsidRDefault="00660921" w:rsidP="00660921">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155507,85</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B3" w:rsidRPr="00944D51" w:rsidRDefault="00660921" w:rsidP="004231DB">
            <w:pPr>
              <w:autoSpaceDE/>
              <w:autoSpaceDN/>
              <w:adjustRightInd/>
              <w:spacing w:after="0" w:line="240" w:lineRule="auto"/>
              <w:jc w:val="right"/>
              <w:rPr>
                <w:rFonts w:eastAsia="Times New Roman"/>
                <w:b/>
                <w:bCs w:val="0"/>
                <w:color w:val="auto"/>
                <w:sz w:val="20"/>
                <w:szCs w:val="20"/>
                <w:lang w:eastAsia="fr-FR"/>
              </w:rPr>
            </w:pPr>
            <w:r w:rsidRPr="00944D51">
              <w:rPr>
                <w:rFonts w:eastAsia="Times New Roman"/>
                <w:b/>
                <w:bCs w:val="0"/>
                <w:color w:val="auto"/>
                <w:sz w:val="20"/>
                <w:szCs w:val="20"/>
                <w:lang w:eastAsia="fr-FR"/>
              </w:rPr>
              <w:t>157</w:t>
            </w:r>
            <w:r w:rsidR="004231DB">
              <w:rPr>
                <w:rFonts w:eastAsia="Times New Roman"/>
                <w:b/>
                <w:bCs w:val="0"/>
                <w:color w:val="auto"/>
                <w:sz w:val="20"/>
                <w:szCs w:val="20"/>
                <w:lang w:eastAsia="fr-FR"/>
              </w:rPr>
              <w:t>714</w:t>
            </w:r>
            <w:r w:rsidRPr="00944D51">
              <w:rPr>
                <w:rFonts w:eastAsia="Times New Roman"/>
                <w:b/>
                <w:bCs w:val="0"/>
                <w:color w:val="auto"/>
                <w:sz w:val="20"/>
                <w:szCs w:val="20"/>
                <w:lang w:eastAsia="fr-FR"/>
              </w:rPr>
              <w:t>,</w:t>
            </w:r>
            <w:r w:rsidR="004231DB">
              <w:rPr>
                <w:rFonts w:eastAsia="Times New Roman"/>
                <w:b/>
                <w:bCs w:val="0"/>
                <w:color w:val="auto"/>
                <w:sz w:val="20"/>
                <w:szCs w:val="20"/>
                <w:lang w:eastAsia="fr-FR"/>
              </w:rPr>
              <w:t>83</w:t>
            </w:r>
          </w:p>
        </w:tc>
        <w:tc>
          <w:tcPr>
            <w:tcW w:w="8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1467B3" w:rsidRPr="00371C4F" w:rsidRDefault="00282136" w:rsidP="001467B3">
            <w:pPr>
              <w:autoSpaceDE/>
              <w:autoSpaceDN/>
              <w:adjustRightInd/>
              <w:spacing w:after="0" w:line="240" w:lineRule="auto"/>
              <w:jc w:val="center"/>
              <w:rPr>
                <w:rFonts w:eastAsia="Times New Roman"/>
                <w:bCs w:val="0"/>
                <w:lang w:eastAsia="fr-FR"/>
              </w:rPr>
            </w:pPr>
            <w:r>
              <w:rPr>
                <w:rFonts w:eastAsia="Times New Roman"/>
                <w:bCs w:val="0"/>
                <w:sz w:val="22"/>
                <w:szCs w:val="22"/>
                <w:lang w:eastAsia="fr-FR"/>
              </w:rPr>
              <w:t>39,29</w:t>
            </w:r>
          </w:p>
        </w:tc>
      </w:tr>
      <w:tr w:rsidR="001467B3" w:rsidRPr="001467B3" w:rsidTr="006009CF">
        <w:trPr>
          <w:trHeight w:val="510"/>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Hôpitaux généraux privés</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233283" w:rsidP="001467B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10098,29</w:t>
            </w:r>
          </w:p>
        </w:tc>
        <w:tc>
          <w:tcPr>
            <w:tcW w:w="1065"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sz w:val="20"/>
                <w:szCs w:val="20"/>
                <w:lang w:eastAsia="fr-FR"/>
              </w:rPr>
            </w:pPr>
          </w:p>
        </w:tc>
        <w:tc>
          <w:tcPr>
            <w:tcW w:w="1180"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ascii="Calibri" w:eastAsia="Times New Roman" w:hAnsi="Calibri"/>
                <w:b/>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510"/>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Autres Hôpitaux généraux</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233283" w:rsidP="001467B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244,21</w:t>
            </w:r>
          </w:p>
        </w:tc>
        <w:tc>
          <w:tcPr>
            <w:tcW w:w="1065"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sz w:val="20"/>
                <w:szCs w:val="20"/>
                <w:lang w:eastAsia="fr-FR"/>
              </w:rPr>
            </w:pPr>
          </w:p>
        </w:tc>
        <w:tc>
          <w:tcPr>
            <w:tcW w:w="1180"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ascii="Calibri" w:eastAsia="Times New Roman" w:hAnsi="Calibri"/>
                <w:b/>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765"/>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Hôpitaux spécialisés (autres que les hôpitaux de santé mentale)</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2 327,23</w:t>
            </w:r>
          </w:p>
        </w:tc>
        <w:tc>
          <w:tcPr>
            <w:tcW w:w="1180"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ascii="Calibri" w:eastAsia="Times New Roman" w:hAnsi="Calibri"/>
                <w:b/>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300"/>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Hôpitaux non spécifiés (n.c.a.)</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92,63</w:t>
            </w:r>
          </w:p>
        </w:tc>
        <w:tc>
          <w:tcPr>
            <w:tcW w:w="1180"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ascii="Calibri" w:eastAsia="Times New Roman" w:hAnsi="Calibri"/>
                <w:b/>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765"/>
        </w:trPr>
        <w:tc>
          <w:tcPr>
            <w:tcW w:w="2269" w:type="dxa"/>
            <w:vMerge w:val="restart"/>
            <w:tcBorders>
              <w:top w:val="nil"/>
              <w:left w:val="single" w:sz="8" w:space="0" w:color="auto"/>
              <w:bottom w:val="single" w:sz="4" w:space="0" w:color="000000"/>
              <w:right w:val="single" w:sz="4" w:space="0" w:color="auto"/>
            </w:tcBorders>
            <w:shd w:val="clear" w:color="auto" w:fill="auto"/>
            <w:vAlign w:val="center"/>
            <w:hideMark/>
          </w:tcPr>
          <w:p w:rsidR="001467B3" w:rsidRPr="001467B3" w:rsidRDefault="001467B3" w:rsidP="001467B3">
            <w:pPr>
              <w:autoSpaceDE/>
              <w:autoSpaceDN/>
              <w:adjustRightInd/>
              <w:spacing w:after="0" w:line="240" w:lineRule="auto"/>
              <w:jc w:val="center"/>
              <w:rPr>
                <w:rFonts w:eastAsia="Times New Roman"/>
                <w:b/>
                <w:color w:val="auto"/>
                <w:lang w:eastAsia="fr-FR"/>
              </w:rPr>
            </w:pPr>
            <w:r w:rsidRPr="001467B3">
              <w:rPr>
                <w:rFonts w:eastAsia="Times New Roman"/>
                <w:b/>
                <w:color w:val="auto"/>
                <w:sz w:val="22"/>
                <w:szCs w:val="22"/>
                <w:lang w:eastAsia="fr-FR"/>
              </w:rPr>
              <w:t xml:space="preserve">Prestataires de soins de santé ambulatoire </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1467B3" w:rsidRPr="001467B3" w:rsidRDefault="001467B3" w:rsidP="001467B3">
            <w:pPr>
              <w:autoSpaceDE/>
              <w:autoSpaceDN/>
              <w:adjustRightInd/>
              <w:spacing w:after="0" w:line="240" w:lineRule="auto"/>
              <w:jc w:val="center"/>
              <w:rPr>
                <w:rFonts w:eastAsia="Times New Roman"/>
                <w:bCs w:val="0"/>
                <w:color w:val="auto"/>
                <w:sz w:val="20"/>
                <w:szCs w:val="20"/>
                <w:lang w:eastAsia="fr-FR"/>
              </w:rPr>
            </w:pPr>
            <w:r w:rsidRPr="001467B3">
              <w:rPr>
                <w:rFonts w:eastAsia="Times New Roman"/>
                <w:bCs w:val="0"/>
                <w:color w:val="auto"/>
                <w:sz w:val="20"/>
                <w:szCs w:val="20"/>
                <w:lang w:eastAsia="fr-FR"/>
              </w:rPr>
              <w:t>Cabinets médicaux</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Cabinets des médecins généralistes</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AA075F" w:rsidP="001467B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22494,84</w:t>
            </w:r>
          </w:p>
        </w:tc>
        <w:tc>
          <w:tcPr>
            <w:tcW w:w="10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B3" w:rsidRPr="001467B3" w:rsidRDefault="00660921" w:rsidP="001467B3">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22505,02</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B3" w:rsidRPr="00371C4F" w:rsidRDefault="001467B3" w:rsidP="004231DB">
            <w:pPr>
              <w:autoSpaceDE/>
              <w:autoSpaceDN/>
              <w:adjustRightInd/>
              <w:spacing w:after="0" w:line="240" w:lineRule="auto"/>
              <w:jc w:val="right"/>
              <w:rPr>
                <w:rFonts w:ascii="Calibri" w:eastAsia="Times New Roman" w:hAnsi="Calibri"/>
                <w:b/>
                <w:bCs w:val="0"/>
                <w:lang w:eastAsia="fr-FR"/>
              </w:rPr>
            </w:pPr>
            <w:r w:rsidRPr="00371C4F">
              <w:rPr>
                <w:rFonts w:eastAsia="Times New Roman"/>
                <w:b/>
                <w:bCs w:val="0"/>
                <w:color w:val="auto"/>
                <w:sz w:val="20"/>
                <w:szCs w:val="20"/>
                <w:lang w:eastAsia="fr-FR"/>
              </w:rPr>
              <w:t>13</w:t>
            </w:r>
            <w:r w:rsidR="004231DB">
              <w:rPr>
                <w:rFonts w:eastAsia="Times New Roman"/>
                <w:b/>
                <w:bCs w:val="0"/>
                <w:color w:val="auto"/>
                <w:sz w:val="20"/>
                <w:szCs w:val="20"/>
                <w:lang w:eastAsia="fr-FR"/>
              </w:rPr>
              <w:t>8</w:t>
            </w:r>
            <w:r w:rsidRPr="00371C4F">
              <w:rPr>
                <w:rFonts w:eastAsia="Times New Roman"/>
                <w:b/>
                <w:bCs w:val="0"/>
                <w:color w:val="auto"/>
                <w:sz w:val="20"/>
                <w:szCs w:val="20"/>
                <w:lang w:eastAsia="fr-FR"/>
              </w:rPr>
              <w:t xml:space="preserve"> 62</w:t>
            </w:r>
            <w:r w:rsidR="004231DB">
              <w:rPr>
                <w:rFonts w:eastAsia="Times New Roman"/>
                <w:b/>
                <w:bCs w:val="0"/>
                <w:color w:val="auto"/>
                <w:sz w:val="20"/>
                <w:szCs w:val="20"/>
                <w:lang w:eastAsia="fr-FR"/>
              </w:rPr>
              <w:t>2</w:t>
            </w:r>
            <w:r w:rsidRPr="00371C4F">
              <w:rPr>
                <w:rFonts w:eastAsia="Times New Roman"/>
                <w:b/>
                <w:bCs w:val="0"/>
                <w:color w:val="auto"/>
                <w:sz w:val="20"/>
                <w:szCs w:val="20"/>
                <w:lang w:eastAsia="fr-FR"/>
              </w:rPr>
              <w:t>,</w:t>
            </w:r>
            <w:r w:rsidR="004231DB">
              <w:rPr>
                <w:rFonts w:eastAsia="Times New Roman"/>
                <w:b/>
                <w:bCs w:val="0"/>
                <w:color w:val="auto"/>
                <w:sz w:val="20"/>
                <w:szCs w:val="20"/>
                <w:lang w:eastAsia="fr-FR"/>
              </w:rPr>
              <w:t>94</w:t>
            </w:r>
          </w:p>
        </w:tc>
        <w:tc>
          <w:tcPr>
            <w:tcW w:w="8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1467B3" w:rsidRPr="00371C4F" w:rsidRDefault="00282136" w:rsidP="001467B3">
            <w:pPr>
              <w:autoSpaceDE/>
              <w:autoSpaceDN/>
              <w:adjustRightInd/>
              <w:spacing w:after="0" w:line="240" w:lineRule="auto"/>
              <w:jc w:val="center"/>
              <w:rPr>
                <w:rFonts w:eastAsia="Times New Roman"/>
                <w:bCs w:val="0"/>
                <w:lang w:eastAsia="fr-FR"/>
              </w:rPr>
            </w:pPr>
            <w:r>
              <w:rPr>
                <w:rFonts w:eastAsia="Times New Roman"/>
                <w:bCs w:val="0"/>
                <w:sz w:val="22"/>
                <w:szCs w:val="22"/>
                <w:lang w:eastAsia="fr-FR"/>
              </w:rPr>
              <w:t>34,54</w:t>
            </w:r>
          </w:p>
        </w:tc>
      </w:tr>
      <w:tr w:rsidR="001467B3" w:rsidRPr="001467B3" w:rsidTr="006009CF">
        <w:trPr>
          <w:trHeight w:val="510"/>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Cabinet de soins médicaux</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AA075F" w:rsidP="001467B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10,18</w:t>
            </w:r>
          </w:p>
        </w:tc>
        <w:tc>
          <w:tcPr>
            <w:tcW w:w="1065"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sz w:val="20"/>
                <w:szCs w:val="20"/>
                <w:lang w:eastAsia="fr-FR"/>
              </w:rPr>
            </w:pPr>
          </w:p>
        </w:tc>
        <w:tc>
          <w:tcPr>
            <w:tcW w:w="1180"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ascii="Calibri" w:eastAsia="Times New Roman" w:hAnsi="Calibri"/>
                <w:bCs w:val="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1020"/>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1467B3" w:rsidRPr="001467B3" w:rsidRDefault="001467B3" w:rsidP="001467B3">
            <w:pPr>
              <w:autoSpaceDE/>
              <w:autoSpaceDN/>
              <w:adjustRightInd/>
              <w:spacing w:after="0" w:line="240" w:lineRule="auto"/>
              <w:jc w:val="center"/>
              <w:rPr>
                <w:rFonts w:eastAsia="Times New Roman"/>
                <w:bCs w:val="0"/>
                <w:color w:val="auto"/>
                <w:sz w:val="20"/>
                <w:szCs w:val="20"/>
                <w:lang w:eastAsia="fr-FR"/>
              </w:rPr>
            </w:pPr>
            <w:r w:rsidRPr="001467B3">
              <w:rPr>
                <w:rFonts w:eastAsia="Times New Roman"/>
                <w:bCs w:val="0"/>
                <w:color w:val="auto"/>
                <w:sz w:val="20"/>
                <w:szCs w:val="20"/>
                <w:lang w:eastAsia="fr-FR"/>
              </w:rPr>
              <w:t>Autres praticiens de soins de santé</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Médecine traditionnelle et pharmacopée traditionnelle</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7 656,22</w:t>
            </w:r>
          </w:p>
        </w:tc>
        <w:tc>
          <w:tcPr>
            <w:tcW w:w="10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center"/>
              <w:rPr>
                <w:rFonts w:eastAsia="Times New Roman"/>
                <w:bCs w:val="0"/>
                <w:sz w:val="20"/>
                <w:szCs w:val="20"/>
                <w:lang w:eastAsia="fr-FR"/>
              </w:rPr>
            </w:pPr>
            <w:r w:rsidRPr="001467B3">
              <w:rPr>
                <w:rFonts w:eastAsia="Times New Roman"/>
                <w:bCs w:val="0"/>
                <w:sz w:val="20"/>
                <w:szCs w:val="20"/>
                <w:lang w:eastAsia="fr-FR"/>
              </w:rPr>
              <w:t>7 669,55</w:t>
            </w:r>
          </w:p>
        </w:tc>
        <w:tc>
          <w:tcPr>
            <w:tcW w:w="1180"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ascii="Calibri" w:eastAsia="Times New Roman" w:hAnsi="Calibri"/>
                <w:bCs w:val="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765"/>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Autres Autres praticiens de soins de santé</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13,33</w:t>
            </w:r>
          </w:p>
        </w:tc>
        <w:tc>
          <w:tcPr>
            <w:tcW w:w="1065"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sz w:val="20"/>
                <w:szCs w:val="20"/>
                <w:lang w:eastAsia="fr-FR"/>
              </w:rPr>
            </w:pPr>
          </w:p>
        </w:tc>
        <w:tc>
          <w:tcPr>
            <w:tcW w:w="1180"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ascii="Calibri" w:eastAsia="Times New Roman" w:hAnsi="Calibri"/>
                <w:bCs w:val="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765"/>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1467B3" w:rsidRPr="001467B3" w:rsidRDefault="001467B3" w:rsidP="001467B3">
            <w:pPr>
              <w:autoSpaceDE/>
              <w:autoSpaceDN/>
              <w:adjustRightInd/>
              <w:spacing w:after="0" w:line="240" w:lineRule="auto"/>
              <w:jc w:val="center"/>
              <w:rPr>
                <w:rFonts w:eastAsia="Times New Roman"/>
                <w:bCs w:val="0"/>
                <w:color w:val="auto"/>
                <w:sz w:val="20"/>
                <w:szCs w:val="20"/>
                <w:lang w:eastAsia="fr-FR"/>
              </w:rPr>
            </w:pPr>
            <w:r w:rsidRPr="001467B3">
              <w:rPr>
                <w:rFonts w:eastAsia="Times New Roman"/>
                <w:bCs w:val="0"/>
                <w:color w:val="auto"/>
                <w:sz w:val="20"/>
                <w:szCs w:val="20"/>
                <w:lang w:eastAsia="fr-FR"/>
              </w:rPr>
              <w:t>Centres de soins ambulatoires</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Centres de soins ambulatoires non-spécialisés</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AA075F" w:rsidP="001467B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103589,96</w:t>
            </w:r>
          </w:p>
        </w:tc>
        <w:tc>
          <w:tcPr>
            <w:tcW w:w="10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B3" w:rsidRPr="001467B3" w:rsidRDefault="00660921" w:rsidP="001467B3">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103599,04</w:t>
            </w:r>
          </w:p>
        </w:tc>
        <w:tc>
          <w:tcPr>
            <w:tcW w:w="1180"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ascii="Calibri" w:eastAsia="Times New Roman" w:hAnsi="Calibri"/>
                <w:bCs w:val="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765"/>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Tous autres centres ambulatoires</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9,08</w:t>
            </w:r>
          </w:p>
        </w:tc>
        <w:tc>
          <w:tcPr>
            <w:tcW w:w="1065"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sz w:val="20"/>
                <w:szCs w:val="20"/>
                <w:lang w:eastAsia="fr-FR"/>
              </w:rPr>
            </w:pPr>
          </w:p>
        </w:tc>
        <w:tc>
          <w:tcPr>
            <w:tcW w:w="1180"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ascii="Calibri" w:eastAsia="Times New Roman" w:hAnsi="Calibri"/>
                <w:bCs w:val="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765"/>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Prestataires de soins de santé ambulatoire non spécifiés (n.c.a.)</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203BD9" w:rsidP="00203BD9">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3072,22</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1467B3" w:rsidRDefault="00660921" w:rsidP="001467B3">
            <w:pPr>
              <w:autoSpaceDE/>
              <w:autoSpaceDN/>
              <w:adjustRightInd/>
              <w:spacing w:after="0" w:line="240" w:lineRule="auto"/>
              <w:jc w:val="right"/>
              <w:rPr>
                <w:rFonts w:eastAsia="Times New Roman"/>
                <w:bCs w:val="0"/>
                <w:sz w:val="20"/>
                <w:szCs w:val="20"/>
                <w:lang w:eastAsia="fr-FR"/>
              </w:rPr>
            </w:pPr>
            <w:r>
              <w:rPr>
                <w:rFonts w:eastAsia="Times New Roman"/>
                <w:bCs w:val="0"/>
                <w:color w:val="auto"/>
                <w:sz w:val="20"/>
                <w:szCs w:val="20"/>
                <w:lang w:eastAsia="fr-FR"/>
              </w:rPr>
              <w:t>3072,22</w:t>
            </w:r>
          </w:p>
        </w:tc>
        <w:tc>
          <w:tcPr>
            <w:tcW w:w="1180"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ascii="Calibri" w:eastAsia="Times New Roman" w:hAnsi="Calibri"/>
                <w:bCs w:val="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620"/>
        </w:trPr>
        <w:tc>
          <w:tcPr>
            <w:tcW w:w="2269" w:type="dxa"/>
            <w:vMerge w:val="restart"/>
            <w:tcBorders>
              <w:top w:val="nil"/>
              <w:left w:val="single" w:sz="8" w:space="0" w:color="auto"/>
              <w:bottom w:val="single" w:sz="4" w:space="0" w:color="000000"/>
              <w:right w:val="single" w:sz="4" w:space="0" w:color="auto"/>
            </w:tcBorders>
            <w:shd w:val="clear" w:color="auto" w:fill="auto"/>
            <w:vAlign w:val="center"/>
            <w:hideMark/>
          </w:tcPr>
          <w:p w:rsidR="001467B3" w:rsidRPr="001467B3" w:rsidRDefault="001467B3" w:rsidP="001467B3">
            <w:pPr>
              <w:autoSpaceDE/>
              <w:autoSpaceDN/>
              <w:adjustRightInd/>
              <w:spacing w:after="0" w:line="240" w:lineRule="auto"/>
              <w:jc w:val="center"/>
              <w:rPr>
                <w:rFonts w:eastAsia="Times New Roman"/>
                <w:b/>
                <w:color w:val="auto"/>
                <w:lang w:eastAsia="fr-FR"/>
              </w:rPr>
            </w:pPr>
            <w:r w:rsidRPr="001467B3">
              <w:rPr>
                <w:rFonts w:eastAsia="Times New Roman"/>
                <w:b/>
                <w:color w:val="auto"/>
                <w:sz w:val="22"/>
                <w:szCs w:val="22"/>
                <w:lang w:eastAsia="fr-FR"/>
              </w:rPr>
              <w:t>Prestataires de services auxiliaires</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1467B3" w:rsidRPr="001467B3" w:rsidRDefault="001467B3" w:rsidP="001467B3">
            <w:pPr>
              <w:autoSpaceDE/>
              <w:autoSpaceDN/>
              <w:adjustRightInd/>
              <w:spacing w:after="0" w:line="240" w:lineRule="auto"/>
              <w:jc w:val="center"/>
              <w:rPr>
                <w:rFonts w:eastAsia="Times New Roman"/>
                <w:bCs w:val="0"/>
                <w:color w:val="auto"/>
                <w:sz w:val="20"/>
                <w:szCs w:val="20"/>
                <w:lang w:eastAsia="fr-FR"/>
              </w:rPr>
            </w:pPr>
            <w:r w:rsidRPr="001467B3">
              <w:rPr>
                <w:rFonts w:eastAsia="Times New Roman"/>
                <w:bCs w:val="0"/>
                <w:color w:val="auto"/>
                <w:sz w:val="20"/>
                <w:szCs w:val="20"/>
                <w:lang w:eastAsia="fr-FR"/>
              </w:rPr>
              <w:t>Laboratoires Médicaux et de diagnostique</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Laboratoire public</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203BD9" w:rsidP="001467B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1128,50</w:t>
            </w:r>
          </w:p>
        </w:tc>
        <w:tc>
          <w:tcPr>
            <w:tcW w:w="10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B3" w:rsidRPr="001467B3" w:rsidRDefault="00660921" w:rsidP="001467B3">
            <w:pPr>
              <w:autoSpaceDE/>
              <w:autoSpaceDN/>
              <w:adjustRightInd/>
              <w:spacing w:after="0" w:line="240" w:lineRule="auto"/>
              <w:jc w:val="center"/>
              <w:rPr>
                <w:rFonts w:eastAsia="Times New Roman"/>
                <w:bCs w:val="0"/>
                <w:sz w:val="20"/>
                <w:szCs w:val="20"/>
                <w:lang w:eastAsia="fr-FR"/>
              </w:rPr>
            </w:pPr>
            <w:r>
              <w:rPr>
                <w:rFonts w:eastAsia="Times New Roman"/>
                <w:bCs w:val="0"/>
                <w:sz w:val="20"/>
                <w:szCs w:val="20"/>
                <w:lang w:eastAsia="fr-FR"/>
              </w:rPr>
              <w:t xml:space="preserve"> 1510,22</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B3" w:rsidRPr="00282136" w:rsidRDefault="00660921" w:rsidP="001467B3">
            <w:pPr>
              <w:autoSpaceDE/>
              <w:autoSpaceDN/>
              <w:adjustRightInd/>
              <w:spacing w:after="0" w:line="240" w:lineRule="auto"/>
              <w:jc w:val="center"/>
              <w:rPr>
                <w:rFonts w:eastAsia="Times New Roman"/>
                <w:b/>
                <w:bCs w:val="0"/>
                <w:sz w:val="20"/>
                <w:szCs w:val="20"/>
                <w:lang w:eastAsia="fr-FR"/>
              </w:rPr>
            </w:pPr>
            <w:r w:rsidRPr="00282136">
              <w:rPr>
                <w:rFonts w:eastAsia="Times New Roman"/>
                <w:b/>
                <w:bCs w:val="0"/>
                <w:sz w:val="20"/>
                <w:szCs w:val="20"/>
                <w:lang w:eastAsia="fr-FR"/>
              </w:rPr>
              <w:t>1510,22</w:t>
            </w:r>
          </w:p>
        </w:tc>
        <w:tc>
          <w:tcPr>
            <w:tcW w:w="8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1467B3" w:rsidRPr="00371C4F" w:rsidRDefault="001467B3" w:rsidP="001467B3">
            <w:pPr>
              <w:autoSpaceDE/>
              <w:autoSpaceDN/>
              <w:adjustRightInd/>
              <w:spacing w:after="0" w:line="240" w:lineRule="auto"/>
              <w:jc w:val="center"/>
              <w:rPr>
                <w:rFonts w:eastAsia="Times New Roman"/>
                <w:bCs w:val="0"/>
                <w:sz w:val="20"/>
                <w:szCs w:val="20"/>
                <w:lang w:eastAsia="fr-FR"/>
              </w:rPr>
            </w:pPr>
            <w:r w:rsidRPr="00371C4F">
              <w:rPr>
                <w:rFonts w:eastAsia="Times New Roman"/>
                <w:bCs w:val="0"/>
                <w:sz w:val="20"/>
                <w:szCs w:val="20"/>
                <w:lang w:eastAsia="fr-FR"/>
              </w:rPr>
              <w:t>0,37</w:t>
            </w:r>
          </w:p>
        </w:tc>
      </w:tr>
      <w:tr w:rsidR="001467B3" w:rsidRPr="001467B3" w:rsidTr="006009CF">
        <w:trPr>
          <w:trHeight w:val="569"/>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
                <w:color w:val="auto"/>
                <w:lang w:eastAsia="fr-FR"/>
              </w:rPr>
            </w:pPr>
          </w:p>
        </w:tc>
        <w:tc>
          <w:tcPr>
            <w:tcW w:w="2126"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Laboratoire privé</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381,72</w:t>
            </w:r>
          </w:p>
        </w:tc>
        <w:tc>
          <w:tcPr>
            <w:tcW w:w="1065" w:type="dxa"/>
            <w:vMerge/>
            <w:tcBorders>
              <w:top w:val="nil"/>
              <w:left w:val="single" w:sz="4" w:space="0" w:color="auto"/>
              <w:bottom w:val="single" w:sz="4" w:space="0" w:color="000000"/>
              <w:right w:val="single" w:sz="4" w:space="0" w:color="auto"/>
            </w:tcBorders>
            <w:vAlign w:val="center"/>
            <w:hideMark/>
          </w:tcPr>
          <w:p w:rsidR="001467B3" w:rsidRPr="001467B3" w:rsidRDefault="001467B3" w:rsidP="001467B3">
            <w:pPr>
              <w:autoSpaceDE/>
              <w:autoSpaceDN/>
              <w:adjustRightInd/>
              <w:spacing w:after="0" w:line="240" w:lineRule="auto"/>
              <w:jc w:val="left"/>
              <w:rPr>
                <w:rFonts w:eastAsia="Times New Roman"/>
                <w:bCs w:val="0"/>
                <w:sz w:val="20"/>
                <w:szCs w:val="20"/>
                <w:lang w:eastAsia="fr-FR"/>
              </w:rPr>
            </w:pPr>
          </w:p>
        </w:tc>
        <w:tc>
          <w:tcPr>
            <w:tcW w:w="1180" w:type="dxa"/>
            <w:vMerge/>
            <w:tcBorders>
              <w:top w:val="nil"/>
              <w:left w:val="single" w:sz="4" w:space="0" w:color="auto"/>
              <w:bottom w:val="single" w:sz="4" w:space="0" w:color="000000"/>
              <w:right w:val="single" w:sz="4" w:space="0" w:color="auto"/>
            </w:tcBorders>
            <w:vAlign w:val="center"/>
            <w:hideMark/>
          </w:tcPr>
          <w:p w:rsidR="001467B3" w:rsidRPr="00E85E6B" w:rsidRDefault="001467B3" w:rsidP="00E85E6B">
            <w:pPr>
              <w:autoSpaceDE/>
              <w:autoSpaceDN/>
              <w:adjustRightInd/>
              <w:spacing w:after="0" w:line="240" w:lineRule="auto"/>
              <w:jc w:val="center"/>
              <w:rPr>
                <w:rFonts w:eastAsia="Times New Roman"/>
                <w:bCs w:val="0"/>
                <w:sz w:val="20"/>
                <w:szCs w:val="2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E85E6B">
            <w:pPr>
              <w:autoSpaceDE/>
              <w:autoSpaceDN/>
              <w:adjustRightInd/>
              <w:spacing w:after="0" w:line="240" w:lineRule="auto"/>
              <w:jc w:val="center"/>
              <w:rPr>
                <w:rFonts w:eastAsia="Times New Roman"/>
                <w:bCs w:val="0"/>
                <w:sz w:val="20"/>
                <w:szCs w:val="20"/>
                <w:lang w:eastAsia="fr-FR"/>
              </w:rPr>
            </w:pPr>
          </w:p>
        </w:tc>
      </w:tr>
      <w:tr w:rsidR="001467B3" w:rsidRPr="001467B3" w:rsidTr="006009CF">
        <w:trPr>
          <w:trHeight w:val="515"/>
        </w:trPr>
        <w:tc>
          <w:tcPr>
            <w:tcW w:w="2269" w:type="dxa"/>
            <w:vMerge w:val="restart"/>
            <w:tcBorders>
              <w:top w:val="nil"/>
              <w:left w:val="single" w:sz="8" w:space="0" w:color="auto"/>
              <w:bottom w:val="single" w:sz="4" w:space="0" w:color="000000"/>
              <w:right w:val="single" w:sz="4" w:space="0" w:color="auto"/>
            </w:tcBorders>
            <w:shd w:val="clear" w:color="auto" w:fill="auto"/>
            <w:vAlign w:val="center"/>
            <w:hideMark/>
          </w:tcPr>
          <w:p w:rsidR="001467B3" w:rsidRPr="001467B3" w:rsidRDefault="001467B3" w:rsidP="001649A8">
            <w:pPr>
              <w:autoSpaceDE/>
              <w:autoSpaceDN/>
              <w:adjustRightInd/>
              <w:spacing w:after="0" w:line="240" w:lineRule="auto"/>
              <w:jc w:val="left"/>
              <w:rPr>
                <w:rFonts w:eastAsia="Times New Roman"/>
                <w:b/>
                <w:color w:val="auto"/>
                <w:lang w:eastAsia="fr-FR"/>
              </w:rPr>
            </w:pPr>
            <w:r w:rsidRPr="001467B3">
              <w:rPr>
                <w:rFonts w:eastAsia="Times New Roman"/>
                <w:b/>
                <w:color w:val="auto"/>
                <w:sz w:val="22"/>
                <w:szCs w:val="22"/>
                <w:lang w:eastAsia="fr-FR"/>
              </w:rPr>
              <w:t>Détaillants et autres prestataires de biens médicaux</w:t>
            </w: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Pharmacies</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26 658,64</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B3" w:rsidRPr="00EB69AD" w:rsidRDefault="00660921" w:rsidP="004231DB">
            <w:pPr>
              <w:autoSpaceDE/>
              <w:autoSpaceDN/>
              <w:adjustRightInd/>
              <w:spacing w:after="0" w:line="240" w:lineRule="auto"/>
              <w:jc w:val="center"/>
              <w:rPr>
                <w:rFonts w:eastAsia="Times New Roman"/>
                <w:b/>
                <w:bCs w:val="0"/>
                <w:sz w:val="20"/>
                <w:szCs w:val="20"/>
                <w:lang w:eastAsia="fr-FR"/>
              </w:rPr>
            </w:pPr>
            <w:r w:rsidRPr="00EB69AD">
              <w:rPr>
                <w:rFonts w:eastAsia="Times New Roman"/>
                <w:b/>
                <w:bCs w:val="0"/>
                <w:sz w:val="20"/>
                <w:szCs w:val="20"/>
                <w:lang w:eastAsia="fr-FR"/>
              </w:rPr>
              <w:t>311</w:t>
            </w:r>
            <w:r w:rsidR="00A23B05" w:rsidRPr="00EB69AD">
              <w:rPr>
                <w:rFonts w:eastAsia="Times New Roman"/>
                <w:b/>
                <w:bCs w:val="0"/>
                <w:sz w:val="20"/>
                <w:szCs w:val="20"/>
                <w:lang w:eastAsia="fr-FR"/>
              </w:rPr>
              <w:t>13,</w:t>
            </w:r>
            <w:r w:rsidR="004231DB">
              <w:rPr>
                <w:rFonts w:eastAsia="Times New Roman"/>
                <w:b/>
                <w:bCs w:val="0"/>
                <w:sz w:val="20"/>
                <w:szCs w:val="20"/>
                <w:lang w:eastAsia="fr-FR"/>
              </w:rPr>
              <w:t>58</w:t>
            </w:r>
          </w:p>
        </w:tc>
        <w:tc>
          <w:tcPr>
            <w:tcW w:w="8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1467B3" w:rsidRPr="00371C4F" w:rsidRDefault="001467B3" w:rsidP="001467B3">
            <w:pPr>
              <w:autoSpaceDE/>
              <w:autoSpaceDN/>
              <w:adjustRightInd/>
              <w:spacing w:after="0" w:line="240" w:lineRule="auto"/>
              <w:jc w:val="center"/>
              <w:rPr>
                <w:rFonts w:eastAsia="Times New Roman"/>
                <w:bCs w:val="0"/>
                <w:sz w:val="20"/>
                <w:szCs w:val="20"/>
                <w:lang w:eastAsia="fr-FR"/>
              </w:rPr>
            </w:pPr>
            <w:r w:rsidRPr="00371C4F">
              <w:rPr>
                <w:rFonts w:eastAsia="Times New Roman"/>
                <w:bCs w:val="0"/>
                <w:sz w:val="20"/>
                <w:szCs w:val="20"/>
                <w:lang w:eastAsia="fr-FR"/>
              </w:rPr>
              <w:t>7,7</w:t>
            </w:r>
            <w:r w:rsidR="00D55175" w:rsidRPr="00371C4F">
              <w:rPr>
                <w:rFonts w:eastAsia="Times New Roman"/>
                <w:bCs w:val="0"/>
                <w:sz w:val="20"/>
                <w:szCs w:val="20"/>
                <w:lang w:eastAsia="fr-FR"/>
              </w:rPr>
              <w:t>5</w:t>
            </w:r>
          </w:p>
        </w:tc>
      </w:tr>
      <w:tr w:rsidR="001467B3" w:rsidRPr="001467B3" w:rsidTr="006009CF">
        <w:trPr>
          <w:trHeight w:val="1118"/>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649A8">
            <w:pPr>
              <w:autoSpaceDE/>
              <w:autoSpaceDN/>
              <w:adjustRightInd/>
              <w:spacing w:after="0" w:line="240" w:lineRule="auto"/>
              <w:jc w:val="left"/>
              <w:rPr>
                <w:rFonts w:eastAsia="Times New Roman"/>
                <w:b/>
                <w:color w:val="auto"/>
                <w:lang w:eastAsia="fr-FR"/>
              </w:rPr>
            </w:pP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xml:space="preserve">Détaillants et autres fournisseurs de  biens médicaux durables et d'appareils médicaux </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1467B3" w:rsidRDefault="004667A0" w:rsidP="001467B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378,39</w:t>
            </w:r>
          </w:p>
        </w:tc>
        <w:tc>
          <w:tcPr>
            <w:tcW w:w="1180" w:type="dxa"/>
            <w:vMerge/>
            <w:tcBorders>
              <w:top w:val="nil"/>
              <w:left w:val="single" w:sz="4" w:space="0" w:color="auto"/>
              <w:bottom w:val="single" w:sz="4" w:space="0" w:color="000000"/>
              <w:right w:val="single" w:sz="4" w:space="0" w:color="auto"/>
            </w:tcBorders>
            <w:vAlign w:val="center"/>
            <w:hideMark/>
          </w:tcPr>
          <w:p w:rsidR="001467B3" w:rsidRPr="00EB69AD" w:rsidRDefault="001467B3" w:rsidP="00EB69AD">
            <w:pPr>
              <w:autoSpaceDE/>
              <w:autoSpaceDN/>
              <w:adjustRightInd/>
              <w:spacing w:after="0" w:line="240" w:lineRule="auto"/>
              <w:jc w:val="center"/>
              <w:rPr>
                <w:rFonts w:eastAsia="Times New Roman"/>
                <w:bCs w:val="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1020"/>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649A8">
            <w:pPr>
              <w:autoSpaceDE/>
              <w:autoSpaceDN/>
              <w:adjustRightInd/>
              <w:spacing w:after="0" w:line="240" w:lineRule="auto"/>
              <w:jc w:val="left"/>
              <w:rPr>
                <w:rFonts w:eastAsia="Times New Roman"/>
                <w:b/>
                <w:color w:val="auto"/>
                <w:lang w:eastAsia="fr-FR"/>
              </w:rPr>
            </w:pP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Tous autres détaillants divers et autres fournisseurs de produits pharmaceutiques et biens médicaux</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4 076,58</w:t>
            </w:r>
          </w:p>
        </w:tc>
        <w:tc>
          <w:tcPr>
            <w:tcW w:w="1180" w:type="dxa"/>
            <w:vMerge/>
            <w:tcBorders>
              <w:top w:val="nil"/>
              <w:left w:val="single" w:sz="4" w:space="0" w:color="auto"/>
              <w:bottom w:val="single" w:sz="4" w:space="0" w:color="000000"/>
              <w:right w:val="single" w:sz="4" w:space="0" w:color="auto"/>
            </w:tcBorders>
            <w:vAlign w:val="center"/>
            <w:hideMark/>
          </w:tcPr>
          <w:p w:rsidR="001467B3" w:rsidRPr="00EB69AD" w:rsidRDefault="001467B3" w:rsidP="00EB69AD">
            <w:pPr>
              <w:autoSpaceDE/>
              <w:autoSpaceDN/>
              <w:adjustRightInd/>
              <w:spacing w:after="0" w:line="240" w:lineRule="auto"/>
              <w:jc w:val="center"/>
              <w:rPr>
                <w:rFonts w:eastAsia="Times New Roman"/>
                <w:bCs w:val="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570"/>
        </w:trPr>
        <w:tc>
          <w:tcPr>
            <w:tcW w:w="2269" w:type="dxa"/>
            <w:tcBorders>
              <w:top w:val="nil"/>
              <w:left w:val="single" w:sz="8" w:space="0" w:color="auto"/>
              <w:bottom w:val="single" w:sz="4" w:space="0" w:color="auto"/>
              <w:right w:val="single" w:sz="4" w:space="0" w:color="auto"/>
            </w:tcBorders>
            <w:shd w:val="clear" w:color="auto" w:fill="auto"/>
            <w:hideMark/>
          </w:tcPr>
          <w:p w:rsidR="001467B3" w:rsidRPr="001467B3" w:rsidRDefault="001467B3" w:rsidP="001649A8">
            <w:pPr>
              <w:autoSpaceDE/>
              <w:autoSpaceDN/>
              <w:adjustRightInd/>
              <w:spacing w:after="0" w:line="240" w:lineRule="auto"/>
              <w:jc w:val="left"/>
              <w:rPr>
                <w:rFonts w:eastAsia="Times New Roman"/>
                <w:b/>
                <w:color w:val="auto"/>
                <w:lang w:eastAsia="fr-FR"/>
              </w:rPr>
            </w:pPr>
            <w:r w:rsidRPr="001467B3">
              <w:rPr>
                <w:rFonts w:eastAsia="Times New Roman"/>
                <w:b/>
                <w:color w:val="auto"/>
                <w:sz w:val="22"/>
                <w:szCs w:val="22"/>
                <w:lang w:eastAsia="fr-FR"/>
              </w:rPr>
              <w:t>Prestataires de soins préventifs</w:t>
            </w: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EB69AD" w:rsidRDefault="004667A0" w:rsidP="001467B3">
            <w:pPr>
              <w:autoSpaceDE/>
              <w:autoSpaceDN/>
              <w:adjustRightInd/>
              <w:spacing w:after="0" w:line="240" w:lineRule="auto"/>
              <w:jc w:val="right"/>
              <w:rPr>
                <w:rFonts w:eastAsia="Times New Roman"/>
                <w:color w:val="auto"/>
                <w:sz w:val="20"/>
                <w:szCs w:val="20"/>
                <w:lang w:eastAsia="fr-FR"/>
              </w:rPr>
            </w:pPr>
            <w:r w:rsidRPr="00EB69AD">
              <w:rPr>
                <w:rFonts w:eastAsia="Times New Roman"/>
                <w:color w:val="auto"/>
                <w:sz w:val="20"/>
                <w:szCs w:val="20"/>
                <w:lang w:eastAsia="fr-FR"/>
              </w:rPr>
              <w:t>45149,64</w:t>
            </w:r>
          </w:p>
        </w:tc>
        <w:tc>
          <w:tcPr>
            <w:tcW w:w="1180" w:type="dxa"/>
            <w:tcBorders>
              <w:top w:val="nil"/>
              <w:left w:val="nil"/>
              <w:bottom w:val="single" w:sz="4" w:space="0" w:color="auto"/>
              <w:right w:val="single" w:sz="4" w:space="0" w:color="auto"/>
            </w:tcBorders>
            <w:shd w:val="clear" w:color="auto" w:fill="auto"/>
            <w:noWrap/>
            <w:vAlign w:val="center"/>
            <w:hideMark/>
          </w:tcPr>
          <w:p w:rsidR="001467B3" w:rsidRPr="00EB69AD" w:rsidRDefault="00A23B05" w:rsidP="00EB69AD">
            <w:pPr>
              <w:autoSpaceDE/>
              <w:autoSpaceDN/>
              <w:adjustRightInd/>
              <w:spacing w:after="0" w:line="240" w:lineRule="auto"/>
              <w:jc w:val="center"/>
              <w:rPr>
                <w:rFonts w:eastAsia="Times New Roman"/>
                <w:b/>
                <w:bCs w:val="0"/>
                <w:lang w:eastAsia="fr-FR"/>
              </w:rPr>
            </w:pPr>
            <w:r w:rsidRPr="00EB69AD">
              <w:rPr>
                <w:rFonts w:eastAsia="Times New Roman"/>
                <w:b/>
                <w:color w:val="auto"/>
                <w:sz w:val="20"/>
                <w:szCs w:val="20"/>
                <w:lang w:eastAsia="fr-FR"/>
              </w:rPr>
              <w:t>45149,64</w:t>
            </w:r>
          </w:p>
        </w:tc>
        <w:tc>
          <w:tcPr>
            <w:tcW w:w="800" w:type="dxa"/>
            <w:tcBorders>
              <w:top w:val="nil"/>
              <w:left w:val="nil"/>
              <w:bottom w:val="single" w:sz="4" w:space="0" w:color="auto"/>
              <w:right w:val="single" w:sz="8" w:space="0" w:color="auto"/>
            </w:tcBorders>
            <w:shd w:val="clear" w:color="auto" w:fill="auto"/>
            <w:noWrap/>
            <w:vAlign w:val="center"/>
            <w:hideMark/>
          </w:tcPr>
          <w:p w:rsidR="001467B3" w:rsidRPr="00371C4F" w:rsidRDefault="0092449D" w:rsidP="001467B3">
            <w:pPr>
              <w:autoSpaceDE/>
              <w:autoSpaceDN/>
              <w:adjustRightInd/>
              <w:spacing w:after="0" w:line="240" w:lineRule="auto"/>
              <w:jc w:val="right"/>
              <w:rPr>
                <w:rFonts w:eastAsia="Times New Roman"/>
                <w:bCs w:val="0"/>
                <w:lang w:eastAsia="fr-FR"/>
              </w:rPr>
            </w:pPr>
            <w:r w:rsidRPr="00371C4F">
              <w:rPr>
                <w:rFonts w:eastAsia="Times New Roman"/>
                <w:bCs w:val="0"/>
                <w:sz w:val="22"/>
                <w:szCs w:val="22"/>
                <w:lang w:eastAsia="fr-FR"/>
              </w:rPr>
              <w:t>11,25</w:t>
            </w:r>
          </w:p>
        </w:tc>
      </w:tr>
      <w:tr w:rsidR="001467B3" w:rsidRPr="001467B3" w:rsidTr="006009CF">
        <w:trPr>
          <w:trHeight w:val="510"/>
        </w:trPr>
        <w:tc>
          <w:tcPr>
            <w:tcW w:w="2269" w:type="dxa"/>
            <w:vMerge w:val="restart"/>
            <w:tcBorders>
              <w:top w:val="nil"/>
              <w:left w:val="single" w:sz="8" w:space="0" w:color="auto"/>
              <w:bottom w:val="single" w:sz="4" w:space="0" w:color="000000"/>
              <w:right w:val="single" w:sz="4" w:space="0" w:color="auto"/>
            </w:tcBorders>
            <w:shd w:val="clear" w:color="auto" w:fill="auto"/>
            <w:vAlign w:val="center"/>
            <w:hideMark/>
          </w:tcPr>
          <w:p w:rsidR="001467B3" w:rsidRPr="001467B3" w:rsidRDefault="001467B3" w:rsidP="001649A8">
            <w:pPr>
              <w:autoSpaceDE/>
              <w:autoSpaceDN/>
              <w:adjustRightInd/>
              <w:spacing w:after="0" w:line="240" w:lineRule="auto"/>
              <w:jc w:val="left"/>
              <w:rPr>
                <w:rFonts w:eastAsia="Times New Roman"/>
                <w:b/>
                <w:color w:val="auto"/>
                <w:lang w:eastAsia="fr-FR"/>
              </w:rPr>
            </w:pPr>
            <w:r w:rsidRPr="001467B3">
              <w:rPr>
                <w:rFonts w:eastAsia="Times New Roman"/>
                <w:b/>
                <w:color w:val="auto"/>
                <w:sz w:val="22"/>
                <w:szCs w:val="22"/>
                <w:lang w:eastAsia="fr-FR"/>
              </w:rPr>
              <w:t xml:space="preserve">Prestataires de services administratifs et de financement du système de soins de santé </w:t>
            </w: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Agences étatiques de l'administration de la santé</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1467B3" w:rsidRDefault="004667A0" w:rsidP="001467B3">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21522,30</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67B3" w:rsidRPr="00EB69AD" w:rsidRDefault="00A23B05" w:rsidP="00EB69AD">
            <w:pPr>
              <w:autoSpaceDE/>
              <w:autoSpaceDN/>
              <w:adjustRightInd/>
              <w:spacing w:after="0" w:line="240" w:lineRule="auto"/>
              <w:jc w:val="center"/>
              <w:rPr>
                <w:rFonts w:eastAsia="Times New Roman"/>
                <w:b/>
                <w:bCs w:val="0"/>
                <w:lang w:eastAsia="fr-FR"/>
              </w:rPr>
            </w:pPr>
            <w:r w:rsidRPr="00EB69AD">
              <w:rPr>
                <w:rFonts w:eastAsia="Times New Roman"/>
                <w:b/>
                <w:bCs w:val="0"/>
                <w:sz w:val="22"/>
                <w:szCs w:val="22"/>
                <w:lang w:eastAsia="fr-FR"/>
              </w:rPr>
              <w:t>25054,97</w:t>
            </w:r>
          </w:p>
        </w:tc>
        <w:tc>
          <w:tcPr>
            <w:tcW w:w="8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1467B3" w:rsidRPr="00371C4F" w:rsidRDefault="0092449D" w:rsidP="001467B3">
            <w:pPr>
              <w:autoSpaceDE/>
              <w:autoSpaceDN/>
              <w:adjustRightInd/>
              <w:spacing w:after="0" w:line="240" w:lineRule="auto"/>
              <w:jc w:val="center"/>
              <w:rPr>
                <w:rFonts w:eastAsia="Times New Roman"/>
                <w:bCs w:val="0"/>
                <w:lang w:eastAsia="fr-FR"/>
              </w:rPr>
            </w:pPr>
            <w:r w:rsidRPr="00371C4F">
              <w:rPr>
                <w:rFonts w:eastAsia="Times New Roman"/>
                <w:bCs w:val="0"/>
                <w:sz w:val="22"/>
                <w:szCs w:val="22"/>
                <w:lang w:eastAsia="fr-FR"/>
              </w:rPr>
              <w:t>6,24</w:t>
            </w:r>
          </w:p>
        </w:tc>
      </w:tr>
      <w:tr w:rsidR="001467B3" w:rsidRPr="001467B3" w:rsidTr="006009CF">
        <w:trPr>
          <w:trHeight w:val="510"/>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649A8">
            <w:pPr>
              <w:autoSpaceDE/>
              <w:autoSpaceDN/>
              <w:adjustRightInd/>
              <w:spacing w:after="0" w:line="240" w:lineRule="auto"/>
              <w:jc w:val="left"/>
              <w:rPr>
                <w:rFonts w:eastAsia="Times New Roman"/>
                <w:b/>
                <w:color w:val="auto"/>
                <w:lang w:eastAsia="fr-FR"/>
              </w:rPr>
            </w:pP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Agences d'assurance maladie sociale</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3 527,67</w:t>
            </w:r>
          </w:p>
        </w:tc>
        <w:tc>
          <w:tcPr>
            <w:tcW w:w="1180" w:type="dxa"/>
            <w:vMerge/>
            <w:tcBorders>
              <w:top w:val="nil"/>
              <w:left w:val="single" w:sz="4" w:space="0" w:color="auto"/>
              <w:bottom w:val="single" w:sz="4" w:space="0" w:color="000000"/>
              <w:right w:val="single" w:sz="4" w:space="0" w:color="auto"/>
            </w:tcBorders>
            <w:vAlign w:val="center"/>
            <w:hideMark/>
          </w:tcPr>
          <w:p w:rsidR="001467B3" w:rsidRPr="00EB69AD" w:rsidRDefault="001467B3" w:rsidP="00EB69AD">
            <w:pPr>
              <w:autoSpaceDE/>
              <w:autoSpaceDN/>
              <w:adjustRightInd/>
              <w:spacing w:after="0" w:line="240" w:lineRule="auto"/>
              <w:jc w:val="center"/>
              <w:rPr>
                <w:rFonts w:eastAsia="Times New Roman"/>
                <w:bCs w:val="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510"/>
        </w:trPr>
        <w:tc>
          <w:tcPr>
            <w:tcW w:w="2269" w:type="dxa"/>
            <w:vMerge/>
            <w:tcBorders>
              <w:top w:val="nil"/>
              <w:left w:val="single" w:sz="8" w:space="0" w:color="auto"/>
              <w:bottom w:val="single" w:sz="4" w:space="0" w:color="000000"/>
              <w:right w:val="single" w:sz="4" w:space="0" w:color="auto"/>
            </w:tcBorders>
            <w:vAlign w:val="center"/>
            <w:hideMark/>
          </w:tcPr>
          <w:p w:rsidR="001467B3" w:rsidRPr="001467B3" w:rsidRDefault="001467B3" w:rsidP="001649A8">
            <w:pPr>
              <w:autoSpaceDE/>
              <w:autoSpaceDN/>
              <w:adjustRightInd/>
              <w:spacing w:after="0" w:line="240" w:lineRule="auto"/>
              <w:jc w:val="left"/>
              <w:rPr>
                <w:rFonts w:eastAsia="Times New Roman"/>
                <w:b/>
                <w:color w:val="auto"/>
                <w:lang w:eastAsia="fr-FR"/>
              </w:rPr>
            </w:pP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Agences administratifs de l'assurance maladie privée</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5,00</w:t>
            </w:r>
          </w:p>
        </w:tc>
        <w:tc>
          <w:tcPr>
            <w:tcW w:w="1180" w:type="dxa"/>
            <w:vMerge/>
            <w:tcBorders>
              <w:top w:val="nil"/>
              <w:left w:val="single" w:sz="4" w:space="0" w:color="auto"/>
              <w:bottom w:val="single" w:sz="4" w:space="0" w:color="000000"/>
              <w:right w:val="single" w:sz="4" w:space="0" w:color="auto"/>
            </w:tcBorders>
            <w:vAlign w:val="center"/>
            <w:hideMark/>
          </w:tcPr>
          <w:p w:rsidR="001467B3" w:rsidRPr="00EB69AD" w:rsidRDefault="001467B3" w:rsidP="00EB69AD">
            <w:pPr>
              <w:autoSpaceDE/>
              <w:autoSpaceDN/>
              <w:adjustRightInd/>
              <w:spacing w:after="0" w:line="240" w:lineRule="auto"/>
              <w:jc w:val="center"/>
              <w:rPr>
                <w:rFonts w:eastAsia="Times New Roman"/>
                <w:bCs w:val="0"/>
                <w:lang w:eastAsia="fr-FR"/>
              </w:rPr>
            </w:pPr>
          </w:p>
        </w:tc>
        <w:tc>
          <w:tcPr>
            <w:tcW w:w="800" w:type="dxa"/>
            <w:vMerge/>
            <w:tcBorders>
              <w:top w:val="nil"/>
              <w:left w:val="single" w:sz="4" w:space="0" w:color="auto"/>
              <w:bottom w:val="single" w:sz="4" w:space="0" w:color="000000"/>
              <w:right w:val="single" w:sz="8" w:space="0" w:color="auto"/>
            </w:tcBorders>
            <w:vAlign w:val="center"/>
            <w:hideMark/>
          </w:tcPr>
          <w:p w:rsidR="001467B3" w:rsidRPr="00371C4F" w:rsidRDefault="001467B3" w:rsidP="001467B3">
            <w:pPr>
              <w:autoSpaceDE/>
              <w:autoSpaceDN/>
              <w:adjustRightInd/>
              <w:spacing w:after="0" w:line="240" w:lineRule="auto"/>
              <w:jc w:val="left"/>
              <w:rPr>
                <w:rFonts w:eastAsia="Times New Roman"/>
                <w:bCs w:val="0"/>
                <w:lang w:eastAsia="fr-FR"/>
              </w:rPr>
            </w:pPr>
          </w:p>
        </w:tc>
      </w:tr>
      <w:tr w:rsidR="001467B3" w:rsidRPr="001467B3" w:rsidTr="006009CF">
        <w:trPr>
          <w:trHeight w:val="765"/>
        </w:trPr>
        <w:tc>
          <w:tcPr>
            <w:tcW w:w="2269" w:type="dxa"/>
            <w:tcBorders>
              <w:top w:val="nil"/>
              <w:left w:val="single" w:sz="8" w:space="0" w:color="auto"/>
              <w:bottom w:val="single" w:sz="4" w:space="0" w:color="auto"/>
              <w:right w:val="single" w:sz="4" w:space="0" w:color="auto"/>
            </w:tcBorders>
            <w:shd w:val="clear" w:color="auto" w:fill="auto"/>
            <w:vAlign w:val="center"/>
            <w:hideMark/>
          </w:tcPr>
          <w:p w:rsidR="001467B3" w:rsidRPr="00312962" w:rsidRDefault="001467B3" w:rsidP="001649A8">
            <w:pPr>
              <w:autoSpaceDE/>
              <w:autoSpaceDN/>
              <w:adjustRightInd/>
              <w:spacing w:after="0" w:line="240" w:lineRule="auto"/>
              <w:jc w:val="left"/>
              <w:rPr>
                <w:rFonts w:eastAsia="Times New Roman"/>
                <w:b/>
                <w:color w:val="auto"/>
                <w:lang w:eastAsia="fr-FR"/>
              </w:rPr>
            </w:pPr>
            <w:r w:rsidRPr="001467B3">
              <w:rPr>
                <w:rFonts w:eastAsia="Times New Roman"/>
                <w:b/>
                <w:color w:val="auto"/>
                <w:sz w:val="22"/>
                <w:szCs w:val="22"/>
                <w:lang w:eastAsia="fr-FR"/>
              </w:rPr>
              <w:t xml:space="preserve">Reste de l'économie  </w:t>
            </w: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Toutes autres industries prestataires secondaires de soins de santé</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left"/>
              <w:rPr>
                <w:rFonts w:eastAsia="Times New Roman"/>
                <w:bCs w:val="0"/>
                <w:color w:val="auto"/>
                <w:sz w:val="20"/>
                <w:szCs w:val="20"/>
                <w:lang w:eastAsia="fr-FR"/>
              </w:rPr>
            </w:pPr>
            <w:r w:rsidRPr="001467B3">
              <w:rPr>
                <w:rFonts w:eastAsia="Times New Roman"/>
                <w:bCs w:val="0"/>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right"/>
              <w:rPr>
                <w:rFonts w:eastAsia="Times New Roman"/>
                <w:bCs w:val="0"/>
                <w:color w:val="auto"/>
                <w:sz w:val="20"/>
                <w:szCs w:val="20"/>
                <w:lang w:eastAsia="fr-FR"/>
              </w:rPr>
            </w:pPr>
            <w:r w:rsidRPr="001467B3">
              <w:rPr>
                <w:rFonts w:eastAsia="Times New Roman"/>
                <w:bCs w:val="0"/>
                <w:color w:val="auto"/>
                <w:sz w:val="20"/>
                <w:szCs w:val="20"/>
                <w:lang w:eastAsia="fr-FR"/>
              </w:rPr>
              <w:t>245,77</w:t>
            </w:r>
          </w:p>
        </w:tc>
        <w:tc>
          <w:tcPr>
            <w:tcW w:w="1180" w:type="dxa"/>
            <w:tcBorders>
              <w:top w:val="nil"/>
              <w:left w:val="nil"/>
              <w:bottom w:val="single" w:sz="4" w:space="0" w:color="auto"/>
              <w:right w:val="single" w:sz="4" w:space="0" w:color="auto"/>
            </w:tcBorders>
            <w:shd w:val="clear" w:color="auto" w:fill="auto"/>
            <w:noWrap/>
            <w:vAlign w:val="center"/>
            <w:hideMark/>
          </w:tcPr>
          <w:p w:rsidR="001467B3" w:rsidRPr="00EB69AD" w:rsidRDefault="001467B3" w:rsidP="00EB69AD">
            <w:pPr>
              <w:autoSpaceDE/>
              <w:autoSpaceDN/>
              <w:adjustRightInd/>
              <w:spacing w:after="0" w:line="240" w:lineRule="auto"/>
              <w:jc w:val="center"/>
              <w:rPr>
                <w:rFonts w:eastAsia="Times New Roman"/>
                <w:b/>
                <w:bCs w:val="0"/>
                <w:lang w:eastAsia="fr-FR"/>
              </w:rPr>
            </w:pPr>
            <w:r w:rsidRPr="00EB69AD">
              <w:rPr>
                <w:rFonts w:eastAsia="Times New Roman"/>
                <w:b/>
                <w:bCs w:val="0"/>
                <w:sz w:val="22"/>
                <w:szCs w:val="22"/>
                <w:lang w:eastAsia="fr-FR"/>
              </w:rPr>
              <w:t>245,77</w:t>
            </w:r>
          </w:p>
        </w:tc>
        <w:tc>
          <w:tcPr>
            <w:tcW w:w="800" w:type="dxa"/>
            <w:tcBorders>
              <w:top w:val="nil"/>
              <w:left w:val="nil"/>
              <w:bottom w:val="single" w:sz="4" w:space="0" w:color="auto"/>
              <w:right w:val="single" w:sz="8" w:space="0" w:color="auto"/>
            </w:tcBorders>
            <w:shd w:val="clear" w:color="auto" w:fill="auto"/>
            <w:noWrap/>
            <w:vAlign w:val="center"/>
            <w:hideMark/>
          </w:tcPr>
          <w:p w:rsidR="001467B3" w:rsidRPr="00371C4F" w:rsidRDefault="001467B3" w:rsidP="001467B3">
            <w:pPr>
              <w:autoSpaceDE/>
              <w:autoSpaceDN/>
              <w:adjustRightInd/>
              <w:spacing w:after="0" w:line="240" w:lineRule="auto"/>
              <w:jc w:val="center"/>
              <w:rPr>
                <w:rFonts w:eastAsia="Times New Roman"/>
                <w:bCs w:val="0"/>
                <w:lang w:eastAsia="fr-FR"/>
              </w:rPr>
            </w:pPr>
            <w:r w:rsidRPr="00371C4F">
              <w:rPr>
                <w:rFonts w:eastAsia="Times New Roman"/>
                <w:bCs w:val="0"/>
                <w:sz w:val="22"/>
                <w:szCs w:val="22"/>
                <w:lang w:eastAsia="fr-FR"/>
              </w:rPr>
              <w:t>0,061</w:t>
            </w:r>
          </w:p>
        </w:tc>
      </w:tr>
      <w:tr w:rsidR="001467B3" w:rsidRPr="001467B3" w:rsidTr="006009CF">
        <w:trPr>
          <w:trHeight w:val="461"/>
        </w:trPr>
        <w:tc>
          <w:tcPr>
            <w:tcW w:w="2269" w:type="dxa"/>
            <w:tcBorders>
              <w:top w:val="nil"/>
              <w:left w:val="single" w:sz="8" w:space="0" w:color="auto"/>
              <w:bottom w:val="single" w:sz="4" w:space="0" w:color="auto"/>
              <w:right w:val="single" w:sz="4" w:space="0" w:color="auto"/>
            </w:tcBorders>
            <w:shd w:val="clear" w:color="auto" w:fill="auto"/>
            <w:hideMark/>
          </w:tcPr>
          <w:p w:rsidR="001467B3" w:rsidRPr="00312962" w:rsidRDefault="001467B3" w:rsidP="001649A8">
            <w:pPr>
              <w:autoSpaceDE/>
              <w:autoSpaceDN/>
              <w:adjustRightInd/>
              <w:spacing w:after="0" w:line="240" w:lineRule="auto"/>
              <w:jc w:val="left"/>
              <w:rPr>
                <w:rFonts w:eastAsia="Times New Roman"/>
                <w:b/>
                <w:color w:val="auto"/>
                <w:lang w:eastAsia="fr-FR"/>
              </w:rPr>
            </w:pPr>
            <w:r w:rsidRPr="001467B3">
              <w:rPr>
                <w:rFonts w:eastAsia="Times New Roman"/>
                <w:b/>
                <w:color w:val="auto"/>
                <w:sz w:val="22"/>
                <w:szCs w:val="22"/>
                <w:lang w:eastAsia="fr-FR"/>
              </w:rPr>
              <w:t>Reste du monde</w:t>
            </w: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EB69AD" w:rsidRDefault="001467B3" w:rsidP="004667A0">
            <w:pPr>
              <w:autoSpaceDE/>
              <w:autoSpaceDN/>
              <w:adjustRightInd/>
              <w:spacing w:after="0" w:line="240" w:lineRule="auto"/>
              <w:jc w:val="right"/>
              <w:rPr>
                <w:rFonts w:eastAsia="Times New Roman"/>
                <w:color w:val="auto"/>
                <w:sz w:val="20"/>
                <w:szCs w:val="20"/>
                <w:lang w:eastAsia="fr-FR"/>
              </w:rPr>
            </w:pPr>
            <w:r w:rsidRPr="00EB69AD">
              <w:rPr>
                <w:rFonts w:eastAsia="Times New Roman"/>
                <w:color w:val="auto"/>
                <w:sz w:val="20"/>
                <w:szCs w:val="20"/>
                <w:lang w:eastAsia="fr-FR"/>
              </w:rPr>
              <w:t xml:space="preserve">1 </w:t>
            </w:r>
            <w:r w:rsidR="004667A0" w:rsidRPr="00EB69AD">
              <w:rPr>
                <w:rFonts w:eastAsia="Times New Roman"/>
                <w:color w:val="auto"/>
                <w:sz w:val="20"/>
                <w:szCs w:val="20"/>
                <w:lang w:eastAsia="fr-FR"/>
              </w:rPr>
              <w:t>497</w:t>
            </w:r>
            <w:r w:rsidRPr="00EB69AD">
              <w:rPr>
                <w:rFonts w:eastAsia="Times New Roman"/>
                <w:color w:val="auto"/>
                <w:sz w:val="20"/>
                <w:szCs w:val="20"/>
                <w:lang w:eastAsia="fr-FR"/>
              </w:rPr>
              <w:t>,</w:t>
            </w:r>
            <w:r w:rsidR="004667A0" w:rsidRPr="00EB69AD">
              <w:rPr>
                <w:rFonts w:eastAsia="Times New Roman"/>
                <w:color w:val="auto"/>
                <w:sz w:val="20"/>
                <w:szCs w:val="20"/>
                <w:lang w:eastAsia="fr-FR"/>
              </w:rPr>
              <w:t>55</w:t>
            </w:r>
          </w:p>
        </w:tc>
        <w:tc>
          <w:tcPr>
            <w:tcW w:w="1180" w:type="dxa"/>
            <w:tcBorders>
              <w:top w:val="nil"/>
              <w:left w:val="nil"/>
              <w:bottom w:val="single" w:sz="4" w:space="0" w:color="auto"/>
              <w:right w:val="single" w:sz="4" w:space="0" w:color="auto"/>
            </w:tcBorders>
            <w:shd w:val="clear" w:color="auto" w:fill="auto"/>
            <w:noWrap/>
            <w:vAlign w:val="center"/>
            <w:hideMark/>
          </w:tcPr>
          <w:p w:rsidR="001467B3" w:rsidRPr="00EB69AD" w:rsidRDefault="001467B3" w:rsidP="00EB69AD">
            <w:pPr>
              <w:autoSpaceDE/>
              <w:autoSpaceDN/>
              <w:adjustRightInd/>
              <w:spacing w:after="0" w:line="240" w:lineRule="auto"/>
              <w:jc w:val="center"/>
              <w:rPr>
                <w:rFonts w:eastAsia="Times New Roman"/>
                <w:b/>
                <w:bCs w:val="0"/>
                <w:lang w:eastAsia="fr-FR"/>
              </w:rPr>
            </w:pPr>
            <w:r w:rsidRPr="00EB69AD">
              <w:rPr>
                <w:rFonts w:eastAsia="Times New Roman"/>
                <w:b/>
                <w:bCs w:val="0"/>
                <w:sz w:val="22"/>
                <w:szCs w:val="22"/>
                <w:lang w:eastAsia="fr-FR"/>
              </w:rPr>
              <w:t xml:space="preserve">1 </w:t>
            </w:r>
            <w:r w:rsidR="00890DB1" w:rsidRPr="00EB69AD">
              <w:rPr>
                <w:rFonts w:eastAsia="Times New Roman"/>
                <w:b/>
                <w:bCs w:val="0"/>
                <w:sz w:val="22"/>
                <w:szCs w:val="22"/>
                <w:lang w:eastAsia="fr-FR"/>
              </w:rPr>
              <w:t>497</w:t>
            </w:r>
            <w:r w:rsidRPr="00EB69AD">
              <w:rPr>
                <w:rFonts w:eastAsia="Times New Roman"/>
                <w:b/>
                <w:bCs w:val="0"/>
                <w:sz w:val="22"/>
                <w:szCs w:val="22"/>
                <w:lang w:eastAsia="fr-FR"/>
              </w:rPr>
              <w:t>,</w:t>
            </w:r>
            <w:r w:rsidR="00890DB1" w:rsidRPr="00EB69AD">
              <w:rPr>
                <w:rFonts w:eastAsia="Times New Roman"/>
                <w:b/>
                <w:bCs w:val="0"/>
                <w:sz w:val="22"/>
                <w:szCs w:val="22"/>
                <w:lang w:eastAsia="fr-FR"/>
              </w:rPr>
              <w:t>55</w:t>
            </w:r>
          </w:p>
        </w:tc>
        <w:tc>
          <w:tcPr>
            <w:tcW w:w="800" w:type="dxa"/>
            <w:tcBorders>
              <w:top w:val="nil"/>
              <w:left w:val="nil"/>
              <w:bottom w:val="single" w:sz="4" w:space="0" w:color="auto"/>
              <w:right w:val="single" w:sz="8" w:space="0" w:color="auto"/>
            </w:tcBorders>
            <w:shd w:val="clear" w:color="auto" w:fill="auto"/>
            <w:noWrap/>
            <w:vAlign w:val="center"/>
            <w:hideMark/>
          </w:tcPr>
          <w:p w:rsidR="001467B3" w:rsidRPr="00371C4F" w:rsidRDefault="001467B3" w:rsidP="001467B3">
            <w:pPr>
              <w:autoSpaceDE/>
              <w:autoSpaceDN/>
              <w:adjustRightInd/>
              <w:spacing w:after="0" w:line="240" w:lineRule="auto"/>
              <w:jc w:val="center"/>
              <w:rPr>
                <w:rFonts w:eastAsia="Times New Roman"/>
                <w:bCs w:val="0"/>
                <w:lang w:eastAsia="fr-FR"/>
              </w:rPr>
            </w:pPr>
            <w:r w:rsidRPr="00371C4F">
              <w:rPr>
                <w:rFonts w:eastAsia="Times New Roman"/>
                <w:bCs w:val="0"/>
                <w:sz w:val="22"/>
                <w:szCs w:val="22"/>
                <w:lang w:eastAsia="fr-FR"/>
              </w:rPr>
              <w:t>0,37</w:t>
            </w:r>
          </w:p>
        </w:tc>
      </w:tr>
      <w:tr w:rsidR="001467B3" w:rsidRPr="001467B3" w:rsidTr="006009CF">
        <w:trPr>
          <w:trHeight w:val="855"/>
        </w:trPr>
        <w:tc>
          <w:tcPr>
            <w:tcW w:w="2269" w:type="dxa"/>
            <w:tcBorders>
              <w:top w:val="nil"/>
              <w:left w:val="single" w:sz="8" w:space="0" w:color="auto"/>
              <w:bottom w:val="single" w:sz="4" w:space="0" w:color="auto"/>
              <w:right w:val="single" w:sz="4" w:space="0" w:color="auto"/>
            </w:tcBorders>
            <w:shd w:val="clear" w:color="auto" w:fill="auto"/>
            <w:hideMark/>
          </w:tcPr>
          <w:p w:rsidR="001467B3" w:rsidRPr="00312962" w:rsidRDefault="001467B3" w:rsidP="001649A8">
            <w:pPr>
              <w:autoSpaceDE/>
              <w:autoSpaceDN/>
              <w:adjustRightInd/>
              <w:spacing w:after="0" w:line="240" w:lineRule="auto"/>
              <w:jc w:val="left"/>
              <w:rPr>
                <w:rFonts w:eastAsia="Times New Roman"/>
                <w:b/>
                <w:color w:val="auto"/>
                <w:lang w:eastAsia="fr-FR"/>
              </w:rPr>
            </w:pPr>
            <w:r w:rsidRPr="001467B3">
              <w:rPr>
                <w:rFonts w:eastAsia="Times New Roman"/>
                <w:b/>
                <w:color w:val="auto"/>
                <w:sz w:val="22"/>
                <w:szCs w:val="22"/>
                <w:lang w:eastAsia="fr-FR"/>
              </w:rPr>
              <w:t>Prestataires de soins de santé non spécifiés (n.c.a.)</w:t>
            </w:r>
          </w:p>
        </w:tc>
        <w:tc>
          <w:tcPr>
            <w:tcW w:w="2126"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559" w:type="dxa"/>
            <w:tcBorders>
              <w:top w:val="nil"/>
              <w:left w:val="nil"/>
              <w:bottom w:val="single" w:sz="4" w:space="0" w:color="auto"/>
              <w:right w:val="single" w:sz="4" w:space="0" w:color="auto"/>
            </w:tcBorders>
            <w:shd w:val="clear" w:color="auto" w:fill="auto"/>
            <w:hideMark/>
          </w:tcPr>
          <w:p w:rsidR="001467B3" w:rsidRPr="001467B3" w:rsidRDefault="001467B3" w:rsidP="001467B3">
            <w:pPr>
              <w:autoSpaceDE/>
              <w:autoSpaceDN/>
              <w:adjustRightInd/>
              <w:spacing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037" w:type="dxa"/>
            <w:tcBorders>
              <w:top w:val="nil"/>
              <w:left w:val="nil"/>
              <w:bottom w:val="single" w:sz="4" w:space="0" w:color="auto"/>
              <w:right w:val="single" w:sz="4" w:space="0" w:color="auto"/>
            </w:tcBorders>
            <w:shd w:val="clear" w:color="auto" w:fill="auto"/>
            <w:noWrap/>
            <w:vAlign w:val="center"/>
            <w:hideMark/>
          </w:tcPr>
          <w:p w:rsidR="001467B3" w:rsidRPr="001467B3" w:rsidRDefault="001467B3" w:rsidP="001467B3">
            <w:pPr>
              <w:autoSpaceDE/>
              <w:autoSpaceDN/>
              <w:adjustRightInd/>
              <w:spacing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065" w:type="dxa"/>
            <w:tcBorders>
              <w:top w:val="nil"/>
              <w:left w:val="nil"/>
              <w:bottom w:val="single" w:sz="4" w:space="0" w:color="auto"/>
              <w:right w:val="single" w:sz="4" w:space="0" w:color="auto"/>
            </w:tcBorders>
            <w:shd w:val="clear" w:color="auto" w:fill="auto"/>
            <w:noWrap/>
            <w:vAlign w:val="center"/>
            <w:hideMark/>
          </w:tcPr>
          <w:p w:rsidR="001467B3" w:rsidRPr="00EB69AD" w:rsidRDefault="00890DB1" w:rsidP="001467B3">
            <w:pPr>
              <w:autoSpaceDE/>
              <w:autoSpaceDN/>
              <w:adjustRightInd/>
              <w:spacing w:after="0" w:line="240" w:lineRule="auto"/>
              <w:jc w:val="right"/>
              <w:rPr>
                <w:rFonts w:eastAsia="Times New Roman"/>
                <w:color w:val="auto"/>
                <w:sz w:val="20"/>
                <w:szCs w:val="20"/>
                <w:lang w:eastAsia="fr-FR"/>
              </w:rPr>
            </w:pPr>
            <w:r w:rsidRPr="00EB69AD">
              <w:rPr>
                <w:rFonts w:eastAsia="Times New Roman"/>
                <w:color w:val="auto"/>
                <w:sz w:val="20"/>
                <w:szCs w:val="20"/>
                <w:lang w:eastAsia="fr-FR"/>
              </w:rPr>
              <w:t xml:space="preserve"> 400,87</w:t>
            </w:r>
          </w:p>
        </w:tc>
        <w:tc>
          <w:tcPr>
            <w:tcW w:w="1180" w:type="dxa"/>
            <w:tcBorders>
              <w:top w:val="nil"/>
              <w:left w:val="nil"/>
              <w:bottom w:val="single" w:sz="4" w:space="0" w:color="auto"/>
              <w:right w:val="single" w:sz="4" w:space="0" w:color="auto"/>
            </w:tcBorders>
            <w:shd w:val="clear" w:color="auto" w:fill="auto"/>
            <w:noWrap/>
            <w:vAlign w:val="center"/>
            <w:hideMark/>
          </w:tcPr>
          <w:p w:rsidR="001467B3" w:rsidRPr="006009CF" w:rsidRDefault="00890DB1" w:rsidP="00EB69AD">
            <w:pPr>
              <w:autoSpaceDE/>
              <w:autoSpaceDN/>
              <w:adjustRightInd/>
              <w:spacing w:after="0" w:line="240" w:lineRule="auto"/>
              <w:jc w:val="center"/>
              <w:rPr>
                <w:rFonts w:eastAsia="Times New Roman"/>
                <w:b/>
                <w:bCs w:val="0"/>
                <w:lang w:eastAsia="fr-FR"/>
              </w:rPr>
            </w:pPr>
            <w:r w:rsidRPr="006009CF">
              <w:rPr>
                <w:rFonts w:eastAsia="Times New Roman"/>
                <w:b/>
                <w:color w:val="auto"/>
                <w:sz w:val="20"/>
                <w:szCs w:val="20"/>
                <w:lang w:eastAsia="fr-FR"/>
              </w:rPr>
              <w:t>400,87</w:t>
            </w:r>
          </w:p>
        </w:tc>
        <w:tc>
          <w:tcPr>
            <w:tcW w:w="800" w:type="dxa"/>
            <w:tcBorders>
              <w:top w:val="nil"/>
              <w:left w:val="nil"/>
              <w:bottom w:val="single" w:sz="4" w:space="0" w:color="auto"/>
              <w:right w:val="single" w:sz="8" w:space="0" w:color="auto"/>
            </w:tcBorders>
            <w:shd w:val="clear" w:color="auto" w:fill="auto"/>
            <w:noWrap/>
            <w:vAlign w:val="center"/>
            <w:hideMark/>
          </w:tcPr>
          <w:p w:rsidR="001467B3" w:rsidRPr="00371C4F" w:rsidRDefault="001467B3" w:rsidP="001467B3">
            <w:pPr>
              <w:autoSpaceDE/>
              <w:autoSpaceDN/>
              <w:adjustRightInd/>
              <w:spacing w:after="0" w:line="240" w:lineRule="auto"/>
              <w:jc w:val="center"/>
              <w:rPr>
                <w:rFonts w:eastAsia="Times New Roman"/>
                <w:bCs w:val="0"/>
                <w:lang w:eastAsia="fr-FR"/>
              </w:rPr>
            </w:pPr>
            <w:r w:rsidRPr="00371C4F">
              <w:rPr>
                <w:rFonts w:eastAsia="Times New Roman"/>
                <w:bCs w:val="0"/>
                <w:sz w:val="22"/>
                <w:szCs w:val="22"/>
                <w:lang w:eastAsia="fr-FR"/>
              </w:rPr>
              <w:t>0,10</w:t>
            </w:r>
          </w:p>
        </w:tc>
      </w:tr>
      <w:tr w:rsidR="001467B3" w:rsidRPr="001467B3" w:rsidTr="006009CF">
        <w:trPr>
          <w:trHeight w:val="315"/>
        </w:trPr>
        <w:tc>
          <w:tcPr>
            <w:tcW w:w="2269" w:type="dxa"/>
            <w:tcBorders>
              <w:top w:val="nil"/>
              <w:left w:val="single" w:sz="8" w:space="0" w:color="auto"/>
              <w:bottom w:val="single" w:sz="8" w:space="0" w:color="auto"/>
              <w:right w:val="single" w:sz="4" w:space="0" w:color="auto"/>
            </w:tcBorders>
            <w:shd w:val="clear" w:color="auto" w:fill="auto"/>
            <w:noWrap/>
            <w:hideMark/>
          </w:tcPr>
          <w:p w:rsidR="001467B3" w:rsidRPr="001467B3" w:rsidRDefault="001467B3" w:rsidP="007B0A90">
            <w:pPr>
              <w:autoSpaceDE/>
              <w:autoSpaceDN/>
              <w:adjustRightInd/>
              <w:spacing w:before="240" w:after="0" w:line="240" w:lineRule="auto"/>
              <w:jc w:val="left"/>
              <w:rPr>
                <w:rFonts w:eastAsia="Times New Roman"/>
                <w:b/>
                <w:color w:val="auto"/>
                <w:lang w:eastAsia="fr-FR"/>
              </w:rPr>
            </w:pPr>
            <w:r w:rsidRPr="001467B3">
              <w:rPr>
                <w:rFonts w:eastAsia="Times New Roman"/>
                <w:b/>
                <w:color w:val="auto"/>
                <w:sz w:val="22"/>
                <w:szCs w:val="22"/>
                <w:lang w:eastAsia="fr-FR"/>
              </w:rPr>
              <w:t>Total</w:t>
            </w:r>
          </w:p>
        </w:tc>
        <w:tc>
          <w:tcPr>
            <w:tcW w:w="2126" w:type="dxa"/>
            <w:tcBorders>
              <w:top w:val="nil"/>
              <w:left w:val="nil"/>
              <w:bottom w:val="single" w:sz="8" w:space="0" w:color="auto"/>
              <w:right w:val="single" w:sz="4" w:space="0" w:color="auto"/>
            </w:tcBorders>
            <w:shd w:val="clear" w:color="auto" w:fill="auto"/>
            <w:noWrap/>
            <w:hideMark/>
          </w:tcPr>
          <w:p w:rsidR="001467B3" w:rsidRPr="001467B3" w:rsidRDefault="001467B3" w:rsidP="007B0A90">
            <w:pPr>
              <w:autoSpaceDE/>
              <w:autoSpaceDN/>
              <w:adjustRightInd/>
              <w:spacing w:before="240"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559" w:type="dxa"/>
            <w:tcBorders>
              <w:top w:val="nil"/>
              <w:left w:val="nil"/>
              <w:bottom w:val="single" w:sz="8" w:space="0" w:color="auto"/>
              <w:right w:val="single" w:sz="4" w:space="0" w:color="auto"/>
            </w:tcBorders>
            <w:shd w:val="clear" w:color="auto" w:fill="auto"/>
            <w:noWrap/>
            <w:hideMark/>
          </w:tcPr>
          <w:p w:rsidR="001467B3" w:rsidRPr="001467B3" w:rsidRDefault="001467B3" w:rsidP="007B0A90">
            <w:pPr>
              <w:autoSpaceDE/>
              <w:autoSpaceDN/>
              <w:adjustRightInd/>
              <w:spacing w:before="240"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037" w:type="dxa"/>
            <w:tcBorders>
              <w:top w:val="nil"/>
              <w:left w:val="nil"/>
              <w:bottom w:val="single" w:sz="8" w:space="0" w:color="auto"/>
              <w:right w:val="single" w:sz="4" w:space="0" w:color="auto"/>
            </w:tcBorders>
            <w:shd w:val="clear" w:color="auto" w:fill="auto"/>
            <w:noWrap/>
            <w:vAlign w:val="center"/>
            <w:hideMark/>
          </w:tcPr>
          <w:p w:rsidR="001467B3" w:rsidRPr="001467B3" w:rsidRDefault="001467B3" w:rsidP="007B0A90">
            <w:pPr>
              <w:autoSpaceDE/>
              <w:autoSpaceDN/>
              <w:adjustRightInd/>
              <w:spacing w:before="240" w:after="0" w:line="240" w:lineRule="auto"/>
              <w:jc w:val="left"/>
              <w:rPr>
                <w:rFonts w:eastAsia="Times New Roman"/>
                <w:b/>
                <w:color w:val="auto"/>
                <w:sz w:val="20"/>
                <w:szCs w:val="20"/>
                <w:lang w:eastAsia="fr-FR"/>
              </w:rPr>
            </w:pPr>
            <w:r w:rsidRPr="001467B3">
              <w:rPr>
                <w:rFonts w:eastAsia="Times New Roman"/>
                <w:b/>
                <w:color w:val="auto"/>
                <w:sz w:val="20"/>
                <w:szCs w:val="20"/>
                <w:lang w:eastAsia="fr-FR"/>
              </w:rPr>
              <w:t> </w:t>
            </w:r>
          </w:p>
        </w:tc>
        <w:tc>
          <w:tcPr>
            <w:tcW w:w="1065" w:type="dxa"/>
            <w:tcBorders>
              <w:top w:val="nil"/>
              <w:left w:val="nil"/>
              <w:bottom w:val="single" w:sz="8" w:space="0" w:color="auto"/>
              <w:right w:val="single" w:sz="4" w:space="0" w:color="auto"/>
            </w:tcBorders>
            <w:shd w:val="clear" w:color="auto" w:fill="auto"/>
            <w:noWrap/>
            <w:vAlign w:val="center"/>
            <w:hideMark/>
          </w:tcPr>
          <w:p w:rsidR="001467B3" w:rsidRPr="001467B3" w:rsidRDefault="001467B3" w:rsidP="007B0A90">
            <w:pPr>
              <w:autoSpaceDE/>
              <w:autoSpaceDN/>
              <w:adjustRightInd/>
              <w:spacing w:before="240" w:after="0" w:line="240" w:lineRule="auto"/>
              <w:jc w:val="left"/>
              <w:rPr>
                <w:rFonts w:eastAsia="Times New Roman"/>
                <w:bCs w:val="0"/>
                <w:sz w:val="20"/>
                <w:szCs w:val="20"/>
                <w:lang w:eastAsia="fr-FR"/>
              </w:rPr>
            </w:pPr>
            <w:r w:rsidRPr="001467B3">
              <w:rPr>
                <w:rFonts w:eastAsia="Times New Roman"/>
                <w:bCs w:val="0"/>
                <w:sz w:val="20"/>
                <w:szCs w:val="20"/>
                <w:lang w:eastAsia="fr-FR"/>
              </w:rPr>
              <w:t> </w:t>
            </w:r>
          </w:p>
        </w:tc>
        <w:tc>
          <w:tcPr>
            <w:tcW w:w="1180" w:type="dxa"/>
            <w:tcBorders>
              <w:top w:val="nil"/>
              <w:left w:val="nil"/>
              <w:bottom w:val="single" w:sz="8" w:space="0" w:color="auto"/>
              <w:right w:val="single" w:sz="4" w:space="0" w:color="auto"/>
            </w:tcBorders>
            <w:shd w:val="clear" w:color="auto" w:fill="auto"/>
            <w:noWrap/>
            <w:vAlign w:val="center"/>
            <w:hideMark/>
          </w:tcPr>
          <w:p w:rsidR="001467B3" w:rsidRPr="00944D51" w:rsidRDefault="001467B3" w:rsidP="00371C4F">
            <w:pPr>
              <w:autoSpaceDE/>
              <w:autoSpaceDN/>
              <w:adjustRightInd/>
              <w:spacing w:before="240" w:after="0" w:line="240" w:lineRule="auto"/>
              <w:jc w:val="right"/>
              <w:rPr>
                <w:rFonts w:eastAsia="Times New Roman"/>
                <w:b/>
                <w:bCs w:val="0"/>
                <w:lang w:eastAsia="fr-FR"/>
              </w:rPr>
            </w:pPr>
            <w:r w:rsidRPr="00944D51">
              <w:rPr>
                <w:rFonts w:eastAsia="Times New Roman"/>
                <w:b/>
                <w:bCs w:val="0"/>
                <w:sz w:val="22"/>
                <w:szCs w:val="22"/>
                <w:lang w:eastAsia="fr-FR"/>
              </w:rPr>
              <w:t>401</w:t>
            </w:r>
            <w:r w:rsidR="00371C4F">
              <w:rPr>
                <w:rFonts w:eastAsia="Times New Roman"/>
                <w:b/>
                <w:bCs w:val="0"/>
                <w:sz w:val="22"/>
                <w:szCs w:val="22"/>
                <w:lang w:eastAsia="fr-FR"/>
              </w:rPr>
              <w:t> </w:t>
            </w:r>
            <w:r w:rsidR="00371C4F" w:rsidRPr="004231DB">
              <w:rPr>
                <w:rFonts w:eastAsia="Times New Roman"/>
                <w:b/>
                <w:bCs w:val="0"/>
                <w:sz w:val="22"/>
                <w:szCs w:val="22"/>
                <w:lang w:eastAsia="fr-FR"/>
              </w:rPr>
              <w:t>310,37</w:t>
            </w:r>
          </w:p>
        </w:tc>
        <w:tc>
          <w:tcPr>
            <w:tcW w:w="800" w:type="dxa"/>
            <w:tcBorders>
              <w:top w:val="nil"/>
              <w:left w:val="nil"/>
              <w:bottom w:val="single" w:sz="8" w:space="0" w:color="auto"/>
              <w:right w:val="single" w:sz="8" w:space="0" w:color="auto"/>
            </w:tcBorders>
            <w:shd w:val="clear" w:color="auto" w:fill="auto"/>
            <w:noWrap/>
            <w:vAlign w:val="bottom"/>
            <w:hideMark/>
          </w:tcPr>
          <w:p w:rsidR="001467B3" w:rsidRPr="00944D51" w:rsidRDefault="001467B3" w:rsidP="007B0A90">
            <w:pPr>
              <w:autoSpaceDE/>
              <w:autoSpaceDN/>
              <w:adjustRightInd/>
              <w:spacing w:before="240" w:after="0" w:line="240" w:lineRule="auto"/>
              <w:jc w:val="center"/>
              <w:rPr>
                <w:rFonts w:eastAsia="Times New Roman"/>
                <w:b/>
                <w:bCs w:val="0"/>
                <w:lang w:eastAsia="fr-FR"/>
              </w:rPr>
            </w:pPr>
            <w:r w:rsidRPr="00944D51">
              <w:rPr>
                <w:rFonts w:eastAsia="Times New Roman"/>
                <w:b/>
                <w:bCs w:val="0"/>
                <w:sz w:val="22"/>
                <w:szCs w:val="22"/>
                <w:lang w:eastAsia="fr-FR"/>
              </w:rPr>
              <w:t>100,00</w:t>
            </w:r>
          </w:p>
        </w:tc>
      </w:tr>
    </w:tbl>
    <w:p w:rsidR="00374F02" w:rsidRDefault="001467B3" w:rsidP="005C127D">
      <w:pPr>
        <w:spacing w:before="240" w:line="312" w:lineRule="auto"/>
        <w:rPr>
          <w:lang w:eastAsia="en-US"/>
        </w:rPr>
      </w:pPr>
      <w:r>
        <w:rPr>
          <w:lang w:eastAsia="en-US"/>
        </w:rPr>
        <w:t>C</w:t>
      </w:r>
      <w:r w:rsidR="00E36B0E" w:rsidRPr="0044670F">
        <w:rPr>
          <w:lang w:eastAsia="en-US"/>
        </w:rPr>
        <w:t>e tableau montre que ce sont les dépenses des prestataires de soins hospitaliers qui ont été les plus importantes en 201</w:t>
      </w:r>
      <w:r w:rsidR="004C6250">
        <w:rPr>
          <w:lang w:eastAsia="en-US"/>
        </w:rPr>
        <w:t>4</w:t>
      </w:r>
      <w:r w:rsidR="00E36B0E" w:rsidRPr="0044670F">
        <w:rPr>
          <w:lang w:eastAsia="en-US"/>
        </w:rPr>
        <w:t xml:space="preserve"> avec </w:t>
      </w:r>
      <w:r w:rsidR="00CA61CF">
        <w:rPr>
          <w:lang w:eastAsia="en-US"/>
        </w:rPr>
        <w:t>39,</w:t>
      </w:r>
      <w:r w:rsidR="00282136">
        <w:rPr>
          <w:lang w:eastAsia="en-US"/>
        </w:rPr>
        <w:t>29</w:t>
      </w:r>
      <w:r w:rsidR="00E36B0E" w:rsidRPr="0044670F">
        <w:rPr>
          <w:lang w:eastAsia="en-US"/>
        </w:rPr>
        <w:t xml:space="preserve"> % du total. Le deuxième poste important revient aux prestataires de soins ambulatoires avec </w:t>
      </w:r>
      <w:r w:rsidR="00282136">
        <w:rPr>
          <w:lang w:eastAsia="en-US"/>
        </w:rPr>
        <w:t xml:space="preserve">34,54 </w:t>
      </w:r>
      <w:r w:rsidR="00E36B0E" w:rsidRPr="0044670F">
        <w:rPr>
          <w:lang w:eastAsia="en-US"/>
        </w:rPr>
        <w:t xml:space="preserve">%. Ensuite viennent les prestataires de soins préventifs avec </w:t>
      </w:r>
      <w:r w:rsidR="00D219B9">
        <w:rPr>
          <w:lang w:eastAsia="en-US"/>
        </w:rPr>
        <w:t>11</w:t>
      </w:r>
      <w:r w:rsidR="00E36B0E" w:rsidRPr="0044670F">
        <w:rPr>
          <w:lang w:eastAsia="en-US"/>
        </w:rPr>
        <w:t>,</w:t>
      </w:r>
      <w:r w:rsidR="00D219B9">
        <w:rPr>
          <w:lang w:eastAsia="en-US"/>
        </w:rPr>
        <w:t>51</w:t>
      </w:r>
      <w:r w:rsidR="00E36B0E" w:rsidRPr="0044670F">
        <w:rPr>
          <w:lang w:eastAsia="en-US"/>
        </w:rPr>
        <w:t>%.</w:t>
      </w:r>
      <w:r w:rsidR="00374F02">
        <w:rPr>
          <w:lang w:eastAsia="en-US"/>
        </w:rPr>
        <w:br w:type="page"/>
      </w:r>
    </w:p>
    <w:p w:rsidR="00E36B0E" w:rsidRPr="0044670F" w:rsidRDefault="00E36B0E" w:rsidP="00A713EE">
      <w:pPr>
        <w:pStyle w:val="Titre4"/>
        <w:numPr>
          <w:ilvl w:val="3"/>
          <w:numId w:val="37"/>
        </w:numPr>
        <w:autoSpaceDE/>
        <w:autoSpaceDN/>
        <w:adjustRightInd/>
        <w:spacing w:after="0" w:line="240" w:lineRule="auto"/>
        <w:jc w:val="left"/>
      </w:pPr>
      <w:bookmarkStart w:id="35" w:name="_Toc413941232"/>
      <w:r w:rsidRPr="0044670F">
        <w:t>Dépenses par facteurs d</w:t>
      </w:r>
      <w:r w:rsidR="00171962">
        <w:t>e prestation des soins de santé</w:t>
      </w:r>
      <w:bookmarkEnd w:id="35"/>
    </w:p>
    <w:p w:rsidR="00A713EE" w:rsidRDefault="00A713EE" w:rsidP="00A713EE">
      <w:pPr>
        <w:spacing w:after="120" w:line="312" w:lineRule="auto"/>
        <w:rPr>
          <w:lang w:eastAsia="en-US"/>
        </w:rPr>
      </w:pPr>
    </w:p>
    <w:p w:rsidR="004F3FF8" w:rsidRPr="00F157C4" w:rsidRDefault="00E36B0E" w:rsidP="00A713EE">
      <w:pPr>
        <w:spacing w:after="120" w:line="312" w:lineRule="auto"/>
        <w:rPr>
          <w:lang w:eastAsia="en-US"/>
        </w:rPr>
      </w:pPr>
      <w:r w:rsidRPr="0044670F">
        <w:rPr>
          <w:lang w:eastAsia="en-US"/>
        </w:rPr>
        <w:t xml:space="preserve">Le tableau </w:t>
      </w:r>
      <w:r w:rsidR="002A412D">
        <w:rPr>
          <w:lang w:eastAsia="en-US"/>
        </w:rPr>
        <w:t>3.</w:t>
      </w:r>
      <w:r w:rsidR="00C3017C">
        <w:rPr>
          <w:lang w:eastAsia="en-US"/>
        </w:rPr>
        <w:t>1.</w:t>
      </w:r>
      <w:r w:rsidR="002A412D">
        <w:rPr>
          <w:lang w:eastAsia="en-US"/>
        </w:rPr>
        <w:t>6</w:t>
      </w:r>
      <w:r w:rsidR="00914318">
        <w:rPr>
          <w:lang w:eastAsia="en-US"/>
        </w:rPr>
        <w:t>montre</w:t>
      </w:r>
      <w:r w:rsidRPr="0044670F">
        <w:rPr>
          <w:lang w:eastAsia="en-US"/>
        </w:rPr>
        <w:t xml:space="preserve"> les dép</w:t>
      </w:r>
      <w:r w:rsidR="00171962">
        <w:rPr>
          <w:lang w:eastAsia="en-US"/>
        </w:rPr>
        <w:t>enses par facteur de prestation</w:t>
      </w:r>
      <w:r w:rsidR="00C3017C">
        <w:rPr>
          <w:lang w:eastAsia="en-US"/>
        </w:rPr>
        <w:t>.</w:t>
      </w:r>
    </w:p>
    <w:p w:rsidR="00E36B0E" w:rsidRDefault="002A412D" w:rsidP="002A412D">
      <w:pPr>
        <w:pStyle w:val="Lgende"/>
        <w:rPr>
          <w:color w:val="000000" w:themeColor="text1"/>
          <w:sz w:val="22"/>
          <w:szCs w:val="22"/>
          <w:lang w:eastAsia="en-US"/>
        </w:rPr>
      </w:pPr>
      <w:bookmarkStart w:id="36" w:name="_Toc483991266"/>
      <w:r w:rsidRPr="002A412D">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3.1</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6</w:t>
      </w:r>
      <w:r w:rsidR="00E72F8E">
        <w:rPr>
          <w:color w:val="000000" w:themeColor="text1"/>
          <w:sz w:val="22"/>
          <w:szCs w:val="22"/>
        </w:rPr>
        <w:fldChar w:fldCharType="end"/>
      </w:r>
      <w:r w:rsidR="00E36B0E" w:rsidRPr="002A412D">
        <w:rPr>
          <w:color w:val="000000" w:themeColor="text1"/>
          <w:sz w:val="22"/>
          <w:szCs w:val="22"/>
          <w:lang w:eastAsia="en-US"/>
        </w:rPr>
        <w:t> : Répartition des dép</w:t>
      </w:r>
      <w:r w:rsidR="00171962" w:rsidRPr="002A412D">
        <w:rPr>
          <w:color w:val="000000" w:themeColor="text1"/>
          <w:sz w:val="22"/>
          <w:szCs w:val="22"/>
          <w:lang w:eastAsia="en-US"/>
        </w:rPr>
        <w:t>enses par facteur de prestation</w:t>
      </w:r>
      <w:bookmarkEnd w:id="36"/>
    </w:p>
    <w:tbl>
      <w:tblPr>
        <w:tblW w:w="8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37"/>
        <w:gridCol w:w="3026"/>
        <w:gridCol w:w="1086"/>
        <w:gridCol w:w="1086"/>
        <w:gridCol w:w="745"/>
      </w:tblGrid>
      <w:tr w:rsidR="00B46DFE" w:rsidRPr="00B46DFE" w:rsidTr="00A713EE">
        <w:trPr>
          <w:trHeight w:val="300"/>
          <w:tblHeader/>
        </w:trPr>
        <w:tc>
          <w:tcPr>
            <w:tcW w:w="5563" w:type="dxa"/>
            <w:gridSpan w:val="2"/>
            <w:shd w:val="clear" w:color="000000" w:fill="BFBFBF"/>
            <w:vAlign w:val="center"/>
            <w:hideMark/>
          </w:tcPr>
          <w:p w:rsidR="00B46DFE" w:rsidRPr="00B46DFE" w:rsidRDefault="00B46DFE" w:rsidP="00A713EE">
            <w:pPr>
              <w:autoSpaceDE/>
              <w:autoSpaceDN/>
              <w:adjustRightInd/>
              <w:spacing w:after="0" w:line="240" w:lineRule="auto"/>
              <w:jc w:val="left"/>
              <w:rPr>
                <w:rFonts w:eastAsia="Times New Roman"/>
                <w:bCs w:val="0"/>
                <w:sz w:val="20"/>
                <w:szCs w:val="20"/>
                <w:lang w:eastAsia="fr-FR"/>
              </w:rPr>
            </w:pPr>
            <w:r w:rsidRPr="00B46DFE">
              <w:rPr>
                <w:rFonts w:eastAsia="Times New Roman"/>
                <w:bCs w:val="0"/>
                <w:sz w:val="20"/>
                <w:szCs w:val="20"/>
                <w:lang w:eastAsia="fr-FR"/>
              </w:rPr>
              <w:t>Facteurs de prestation</w:t>
            </w:r>
          </w:p>
        </w:tc>
        <w:tc>
          <w:tcPr>
            <w:tcW w:w="2172" w:type="dxa"/>
            <w:gridSpan w:val="2"/>
            <w:shd w:val="clear" w:color="000000" w:fill="BFBFBF"/>
            <w:noWrap/>
            <w:vAlign w:val="center"/>
            <w:hideMark/>
          </w:tcPr>
          <w:p w:rsidR="00B46DFE" w:rsidRPr="00B46DFE" w:rsidRDefault="00B46DFE" w:rsidP="00A713EE">
            <w:pPr>
              <w:autoSpaceDE/>
              <w:autoSpaceDN/>
              <w:adjustRightInd/>
              <w:spacing w:after="0" w:line="240" w:lineRule="auto"/>
              <w:jc w:val="center"/>
              <w:rPr>
                <w:rFonts w:eastAsia="Times New Roman"/>
                <w:bCs w:val="0"/>
                <w:sz w:val="20"/>
                <w:szCs w:val="20"/>
                <w:lang w:eastAsia="fr-FR"/>
              </w:rPr>
            </w:pPr>
            <w:r w:rsidRPr="00B46DFE">
              <w:rPr>
                <w:rFonts w:eastAsia="Times New Roman"/>
                <w:bCs w:val="0"/>
                <w:sz w:val="20"/>
                <w:szCs w:val="20"/>
                <w:lang w:eastAsia="fr-FR"/>
              </w:rPr>
              <w:t>Montant</w:t>
            </w:r>
          </w:p>
        </w:tc>
        <w:tc>
          <w:tcPr>
            <w:tcW w:w="745" w:type="dxa"/>
            <w:shd w:val="clear" w:color="000000" w:fill="BFBFBF"/>
            <w:noWrap/>
            <w:vAlign w:val="center"/>
            <w:hideMark/>
          </w:tcPr>
          <w:p w:rsidR="00B46DFE" w:rsidRPr="00B46DFE" w:rsidRDefault="00B46DFE" w:rsidP="00A713EE">
            <w:pPr>
              <w:autoSpaceDE/>
              <w:autoSpaceDN/>
              <w:adjustRightInd/>
              <w:spacing w:after="0" w:line="240" w:lineRule="auto"/>
              <w:jc w:val="left"/>
              <w:rPr>
                <w:rFonts w:eastAsia="Times New Roman"/>
                <w:bCs w:val="0"/>
                <w:sz w:val="20"/>
                <w:szCs w:val="20"/>
                <w:lang w:eastAsia="fr-FR"/>
              </w:rPr>
            </w:pPr>
            <w:r w:rsidRPr="00B46DFE">
              <w:rPr>
                <w:rFonts w:eastAsia="Times New Roman"/>
                <w:bCs w:val="0"/>
                <w:sz w:val="20"/>
                <w:szCs w:val="20"/>
                <w:lang w:eastAsia="fr-FR"/>
              </w:rPr>
              <w:t>%</w:t>
            </w:r>
          </w:p>
        </w:tc>
      </w:tr>
      <w:tr w:rsidR="00B46DFE" w:rsidRPr="00B46DFE" w:rsidTr="00282136">
        <w:trPr>
          <w:trHeight w:val="396"/>
        </w:trPr>
        <w:tc>
          <w:tcPr>
            <w:tcW w:w="2537" w:type="dxa"/>
            <w:vMerge w:val="restart"/>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
                <w:color w:val="auto"/>
                <w:lang w:eastAsia="fr-FR"/>
              </w:rPr>
            </w:pPr>
            <w:r w:rsidRPr="00B46DFE">
              <w:rPr>
                <w:rFonts w:eastAsia="Times New Roman"/>
                <w:b/>
                <w:color w:val="auto"/>
                <w:sz w:val="22"/>
                <w:szCs w:val="22"/>
                <w:lang w:eastAsia="fr-FR"/>
              </w:rPr>
              <w:t xml:space="preserve">Rémunération des employés </w:t>
            </w:r>
          </w:p>
        </w:tc>
        <w:tc>
          <w:tcPr>
            <w:tcW w:w="3026"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Cs w:val="0"/>
                <w:color w:val="auto"/>
                <w:sz w:val="20"/>
                <w:szCs w:val="20"/>
                <w:lang w:eastAsia="fr-FR"/>
              </w:rPr>
            </w:pPr>
            <w:r w:rsidRPr="00B46DFE">
              <w:rPr>
                <w:rFonts w:eastAsia="Times New Roman"/>
                <w:bCs w:val="0"/>
                <w:color w:val="auto"/>
                <w:sz w:val="20"/>
                <w:szCs w:val="20"/>
                <w:lang w:eastAsia="fr-FR"/>
              </w:rPr>
              <w:t>Traitements et salaires</w:t>
            </w:r>
          </w:p>
        </w:tc>
        <w:tc>
          <w:tcPr>
            <w:tcW w:w="1086" w:type="dxa"/>
            <w:shd w:val="clear" w:color="auto" w:fill="auto"/>
            <w:noWrap/>
            <w:vAlign w:val="center"/>
            <w:hideMark/>
          </w:tcPr>
          <w:p w:rsidR="00B46DFE" w:rsidRPr="00B46DFE" w:rsidRDefault="003B2EB9" w:rsidP="00A713EE">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124189,01</w:t>
            </w:r>
          </w:p>
        </w:tc>
        <w:tc>
          <w:tcPr>
            <w:tcW w:w="1086" w:type="dxa"/>
            <w:vMerge w:val="restart"/>
            <w:shd w:val="clear" w:color="auto" w:fill="auto"/>
            <w:noWrap/>
            <w:vAlign w:val="center"/>
            <w:hideMark/>
          </w:tcPr>
          <w:p w:rsidR="00B46DFE" w:rsidRPr="00B46DFE" w:rsidRDefault="003B2EB9" w:rsidP="00A713EE">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124264,91</w:t>
            </w:r>
          </w:p>
        </w:tc>
        <w:tc>
          <w:tcPr>
            <w:tcW w:w="745" w:type="dxa"/>
            <w:vMerge w:val="restart"/>
            <w:shd w:val="clear" w:color="auto" w:fill="auto"/>
            <w:noWrap/>
            <w:vAlign w:val="center"/>
            <w:hideMark/>
          </w:tcPr>
          <w:p w:rsidR="00B46DFE" w:rsidRPr="00B46DFE" w:rsidRDefault="00374F02" w:rsidP="00A713EE">
            <w:pPr>
              <w:autoSpaceDE/>
              <w:autoSpaceDN/>
              <w:adjustRightInd/>
              <w:spacing w:after="0" w:line="240" w:lineRule="auto"/>
              <w:jc w:val="left"/>
              <w:rPr>
                <w:rFonts w:eastAsia="Times New Roman"/>
                <w:bCs w:val="0"/>
                <w:lang w:eastAsia="fr-FR"/>
              </w:rPr>
            </w:pPr>
            <w:r>
              <w:rPr>
                <w:rFonts w:eastAsia="Times New Roman"/>
                <w:bCs w:val="0"/>
                <w:sz w:val="22"/>
                <w:szCs w:val="22"/>
                <w:lang w:eastAsia="fr-FR"/>
              </w:rPr>
              <w:t>30,96</w:t>
            </w:r>
          </w:p>
        </w:tc>
      </w:tr>
      <w:tr w:rsidR="00B46DFE" w:rsidRPr="00B46DFE" w:rsidTr="00A713EE">
        <w:trPr>
          <w:trHeight w:val="525"/>
        </w:trPr>
        <w:tc>
          <w:tcPr>
            <w:tcW w:w="2537" w:type="dxa"/>
            <w:vMerge/>
            <w:vAlign w:val="center"/>
            <w:hideMark/>
          </w:tcPr>
          <w:p w:rsidR="00B46DFE" w:rsidRPr="00B46DFE" w:rsidRDefault="00B46DFE" w:rsidP="00A713EE">
            <w:pPr>
              <w:autoSpaceDE/>
              <w:autoSpaceDN/>
              <w:adjustRightInd/>
              <w:spacing w:after="0" w:line="240" w:lineRule="auto"/>
              <w:jc w:val="left"/>
              <w:rPr>
                <w:rFonts w:eastAsia="Times New Roman"/>
                <w:b/>
                <w:color w:val="auto"/>
                <w:lang w:eastAsia="fr-FR"/>
              </w:rPr>
            </w:pPr>
          </w:p>
        </w:tc>
        <w:tc>
          <w:tcPr>
            <w:tcW w:w="3026"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Cs w:val="0"/>
                <w:color w:val="auto"/>
                <w:sz w:val="20"/>
                <w:szCs w:val="20"/>
                <w:lang w:eastAsia="fr-FR"/>
              </w:rPr>
            </w:pPr>
            <w:r w:rsidRPr="00B46DFE">
              <w:rPr>
                <w:rFonts w:eastAsia="Times New Roman"/>
                <w:bCs w:val="0"/>
                <w:color w:val="auto"/>
                <w:sz w:val="20"/>
                <w:szCs w:val="20"/>
                <w:lang w:eastAsia="fr-FR"/>
              </w:rPr>
              <w:t>Tous autres coûts relatifs aux employés</w:t>
            </w:r>
          </w:p>
        </w:tc>
        <w:tc>
          <w:tcPr>
            <w:tcW w:w="1086" w:type="dxa"/>
            <w:shd w:val="clear" w:color="auto" w:fill="auto"/>
            <w:noWrap/>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r w:rsidRPr="00B46DFE">
              <w:rPr>
                <w:rFonts w:eastAsia="Times New Roman"/>
                <w:bCs w:val="0"/>
                <w:color w:val="auto"/>
                <w:sz w:val="20"/>
                <w:szCs w:val="20"/>
                <w:lang w:eastAsia="fr-FR"/>
              </w:rPr>
              <w:t>75,93</w:t>
            </w:r>
          </w:p>
        </w:tc>
        <w:tc>
          <w:tcPr>
            <w:tcW w:w="1086" w:type="dxa"/>
            <w:vMerge/>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p>
        </w:tc>
        <w:tc>
          <w:tcPr>
            <w:tcW w:w="745" w:type="dxa"/>
            <w:vMerge/>
            <w:vAlign w:val="center"/>
            <w:hideMark/>
          </w:tcPr>
          <w:p w:rsidR="00B46DFE" w:rsidRPr="00B46DFE" w:rsidRDefault="00B46DFE" w:rsidP="00A713EE">
            <w:pPr>
              <w:autoSpaceDE/>
              <w:autoSpaceDN/>
              <w:adjustRightInd/>
              <w:spacing w:after="0" w:line="240" w:lineRule="auto"/>
              <w:jc w:val="left"/>
              <w:rPr>
                <w:rFonts w:eastAsia="Times New Roman"/>
                <w:bCs w:val="0"/>
                <w:lang w:eastAsia="fr-FR"/>
              </w:rPr>
            </w:pPr>
          </w:p>
        </w:tc>
      </w:tr>
      <w:tr w:rsidR="00B46DFE" w:rsidRPr="00B46DFE" w:rsidTr="00A713EE">
        <w:trPr>
          <w:trHeight w:val="735"/>
        </w:trPr>
        <w:tc>
          <w:tcPr>
            <w:tcW w:w="2537"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
                <w:color w:val="auto"/>
                <w:lang w:eastAsia="fr-FR"/>
              </w:rPr>
            </w:pPr>
            <w:r w:rsidRPr="00B46DFE">
              <w:rPr>
                <w:rFonts w:eastAsia="Times New Roman"/>
                <w:b/>
                <w:color w:val="auto"/>
                <w:sz w:val="22"/>
                <w:szCs w:val="22"/>
                <w:lang w:eastAsia="fr-FR"/>
              </w:rPr>
              <w:t>Rémunération des professionnels  particuliers</w:t>
            </w:r>
          </w:p>
        </w:tc>
        <w:tc>
          <w:tcPr>
            <w:tcW w:w="3026"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Cs w:val="0"/>
                <w:color w:val="auto"/>
                <w:sz w:val="20"/>
                <w:szCs w:val="20"/>
                <w:lang w:eastAsia="fr-FR"/>
              </w:rPr>
            </w:pPr>
            <w:r w:rsidRPr="00B46DFE">
              <w:rPr>
                <w:rFonts w:eastAsia="Times New Roman"/>
                <w:bCs w:val="0"/>
                <w:color w:val="auto"/>
                <w:sz w:val="20"/>
                <w:szCs w:val="20"/>
                <w:lang w:eastAsia="fr-FR"/>
              </w:rPr>
              <w:t> </w:t>
            </w:r>
          </w:p>
        </w:tc>
        <w:tc>
          <w:tcPr>
            <w:tcW w:w="1086" w:type="dxa"/>
            <w:shd w:val="clear" w:color="auto" w:fill="auto"/>
            <w:noWrap/>
            <w:vAlign w:val="center"/>
            <w:hideMark/>
          </w:tcPr>
          <w:p w:rsidR="00B46DFE" w:rsidRPr="00B46DFE" w:rsidRDefault="003B2EB9" w:rsidP="00A713EE">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429,25</w:t>
            </w:r>
          </w:p>
        </w:tc>
        <w:tc>
          <w:tcPr>
            <w:tcW w:w="1086" w:type="dxa"/>
            <w:shd w:val="clear" w:color="auto" w:fill="auto"/>
            <w:noWrap/>
            <w:vAlign w:val="center"/>
            <w:hideMark/>
          </w:tcPr>
          <w:p w:rsidR="00B46DFE" w:rsidRPr="00B46DFE" w:rsidRDefault="003B2EB9" w:rsidP="00A713EE">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429,25</w:t>
            </w:r>
          </w:p>
        </w:tc>
        <w:tc>
          <w:tcPr>
            <w:tcW w:w="745" w:type="dxa"/>
            <w:shd w:val="clear" w:color="auto" w:fill="auto"/>
            <w:noWrap/>
            <w:vAlign w:val="center"/>
            <w:hideMark/>
          </w:tcPr>
          <w:p w:rsidR="00B46DFE" w:rsidRPr="00B46DFE" w:rsidRDefault="00374F02" w:rsidP="00A713EE">
            <w:pPr>
              <w:autoSpaceDE/>
              <w:autoSpaceDN/>
              <w:adjustRightInd/>
              <w:spacing w:after="0" w:line="240" w:lineRule="auto"/>
              <w:jc w:val="left"/>
              <w:rPr>
                <w:rFonts w:eastAsia="Times New Roman"/>
                <w:bCs w:val="0"/>
                <w:lang w:eastAsia="fr-FR"/>
              </w:rPr>
            </w:pPr>
            <w:r>
              <w:rPr>
                <w:rFonts w:eastAsia="Times New Roman"/>
                <w:bCs w:val="0"/>
                <w:sz w:val="22"/>
                <w:szCs w:val="22"/>
                <w:lang w:eastAsia="fr-FR"/>
              </w:rPr>
              <w:t>0,1</w:t>
            </w:r>
            <w:r w:rsidR="00FF6195">
              <w:rPr>
                <w:rFonts w:eastAsia="Times New Roman"/>
                <w:bCs w:val="0"/>
                <w:sz w:val="22"/>
                <w:szCs w:val="22"/>
                <w:lang w:eastAsia="fr-FR"/>
              </w:rPr>
              <w:t>1</w:t>
            </w:r>
          </w:p>
        </w:tc>
      </w:tr>
      <w:tr w:rsidR="00B46DFE" w:rsidRPr="00B46DFE" w:rsidTr="00A713EE">
        <w:trPr>
          <w:trHeight w:val="300"/>
        </w:trPr>
        <w:tc>
          <w:tcPr>
            <w:tcW w:w="2537" w:type="dxa"/>
            <w:vMerge w:val="restart"/>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
                <w:color w:val="auto"/>
                <w:lang w:eastAsia="fr-FR"/>
              </w:rPr>
            </w:pPr>
            <w:r w:rsidRPr="00B46DFE">
              <w:rPr>
                <w:rFonts w:eastAsia="Times New Roman"/>
                <w:b/>
                <w:color w:val="auto"/>
                <w:sz w:val="22"/>
                <w:szCs w:val="22"/>
                <w:lang w:eastAsia="fr-FR"/>
              </w:rPr>
              <w:t>Equipements et services utilisés</w:t>
            </w:r>
          </w:p>
        </w:tc>
        <w:tc>
          <w:tcPr>
            <w:tcW w:w="3026"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Cs w:val="0"/>
                <w:color w:val="auto"/>
                <w:sz w:val="20"/>
                <w:szCs w:val="20"/>
                <w:lang w:eastAsia="fr-FR"/>
              </w:rPr>
            </w:pPr>
            <w:r w:rsidRPr="00B46DFE">
              <w:rPr>
                <w:rFonts w:eastAsia="Times New Roman"/>
                <w:bCs w:val="0"/>
                <w:color w:val="auto"/>
                <w:sz w:val="20"/>
                <w:szCs w:val="20"/>
                <w:lang w:eastAsia="fr-FR"/>
              </w:rPr>
              <w:t xml:space="preserve">Services de soins de santé </w:t>
            </w:r>
          </w:p>
        </w:tc>
        <w:tc>
          <w:tcPr>
            <w:tcW w:w="1086" w:type="dxa"/>
            <w:shd w:val="clear" w:color="auto" w:fill="auto"/>
            <w:noWrap/>
            <w:vAlign w:val="center"/>
            <w:hideMark/>
          </w:tcPr>
          <w:p w:rsidR="00B46DFE" w:rsidRPr="00B46DFE" w:rsidRDefault="003B2EB9" w:rsidP="00A713EE">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4598,14</w:t>
            </w:r>
          </w:p>
        </w:tc>
        <w:tc>
          <w:tcPr>
            <w:tcW w:w="1086" w:type="dxa"/>
            <w:vMerge w:val="restart"/>
            <w:shd w:val="clear" w:color="auto" w:fill="auto"/>
            <w:noWrap/>
            <w:vAlign w:val="center"/>
            <w:hideMark/>
          </w:tcPr>
          <w:p w:rsidR="00B46DFE" w:rsidRPr="00B46DFE" w:rsidRDefault="00B12F84" w:rsidP="00A713EE">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276558,43</w:t>
            </w:r>
          </w:p>
        </w:tc>
        <w:tc>
          <w:tcPr>
            <w:tcW w:w="745" w:type="dxa"/>
            <w:vMerge w:val="restart"/>
            <w:shd w:val="clear" w:color="auto" w:fill="auto"/>
            <w:noWrap/>
            <w:vAlign w:val="center"/>
            <w:hideMark/>
          </w:tcPr>
          <w:p w:rsidR="00B46DFE" w:rsidRPr="00B46DFE" w:rsidRDefault="00B46DFE" w:rsidP="00D55175">
            <w:pPr>
              <w:autoSpaceDE/>
              <w:autoSpaceDN/>
              <w:adjustRightInd/>
              <w:spacing w:after="0" w:line="240" w:lineRule="auto"/>
              <w:jc w:val="left"/>
              <w:rPr>
                <w:rFonts w:eastAsia="Times New Roman"/>
                <w:bCs w:val="0"/>
                <w:lang w:eastAsia="fr-FR"/>
              </w:rPr>
            </w:pPr>
            <w:r w:rsidRPr="00B46DFE">
              <w:rPr>
                <w:rFonts w:eastAsia="Times New Roman"/>
                <w:bCs w:val="0"/>
                <w:sz w:val="22"/>
                <w:szCs w:val="22"/>
                <w:lang w:eastAsia="fr-FR"/>
              </w:rPr>
              <w:t>68,</w:t>
            </w:r>
            <w:r w:rsidR="00D55175">
              <w:rPr>
                <w:rFonts w:eastAsia="Times New Roman"/>
                <w:bCs w:val="0"/>
                <w:sz w:val="22"/>
                <w:szCs w:val="22"/>
                <w:lang w:eastAsia="fr-FR"/>
              </w:rPr>
              <w:t>91</w:t>
            </w:r>
          </w:p>
        </w:tc>
      </w:tr>
      <w:tr w:rsidR="00B46DFE" w:rsidRPr="00B46DFE" w:rsidTr="00A713EE">
        <w:trPr>
          <w:trHeight w:val="300"/>
        </w:trPr>
        <w:tc>
          <w:tcPr>
            <w:tcW w:w="2537" w:type="dxa"/>
            <w:vMerge/>
            <w:vAlign w:val="center"/>
            <w:hideMark/>
          </w:tcPr>
          <w:p w:rsidR="00B46DFE" w:rsidRPr="00B46DFE" w:rsidRDefault="00B46DFE" w:rsidP="00A713EE">
            <w:pPr>
              <w:autoSpaceDE/>
              <w:autoSpaceDN/>
              <w:adjustRightInd/>
              <w:spacing w:after="0" w:line="240" w:lineRule="auto"/>
              <w:jc w:val="left"/>
              <w:rPr>
                <w:rFonts w:eastAsia="Times New Roman"/>
                <w:b/>
                <w:color w:val="auto"/>
                <w:lang w:eastAsia="fr-FR"/>
              </w:rPr>
            </w:pPr>
          </w:p>
        </w:tc>
        <w:tc>
          <w:tcPr>
            <w:tcW w:w="3026"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Cs w:val="0"/>
                <w:color w:val="auto"/>
                <w:sz w:val="20"/>
                <w:szCs w:val="20"/>
                <w:lang w:eastAsia="fr-FR"/>
              </w:rPr>
            </w:pPr>
            <w:r w:rsidRPr="00B46DFE">
              <w:rPr>
                <w:rFonts w:eastAsia="Times New Roman"/>
                <w:bCs w:val="0"/>
                <w:color w:val="auto"/>
                <w:sz w:val="20"/>
                <w:szCs w:val="20"/>
                <w:lang w:eastAsia="fr-FR"/>
              </w:rPr>
              <w:t>Biens de santé</w:t>
            </w:r>
          </w:p>
        </w:tc>
        <w:tc>
          <w:tcPr>
            <w:tcW w:w="1086" w:type="dxa"/>
            <w:shd w:val="clear" w:color="auto" w:fill="auto"/>
            <w:noWrap/>
            <w:vAlign w:val="center"/>
            <w:hideMark/>
          </w:tcPr>
          <w:p w:rsidR="00B46DFE" w:rsidRPr="00B46DFE" w:rsidRDefault="003B2EB9" w:rsidP="00A713EE">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229587,54</w:t>
            </w:r>
          </w:p>
        </w:tc>
        <w:tc>
          <w:tcPr>
            <w:tcW w:w="1086" w:type="dxa"/>
            <w:vMerge/>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p>
        </w:tc>
        <w:tc>
          <w:tcPr>
            <w:tcW w:w="745" w:type="dxa"/>
            <w:vMerge/>
            <w:vAlign w:val="center"/>
            <w:hideMark/>
          </w:tcPr>
          <w:p w:rsidR="00B46DFE" w:rsidRPr="00B46DFE" w:rsidRDefault="00B46DFE" w:rsidP="00A713EE">
            <w:pPr>
              <w:autoSpaceDE/>
              <w:autoSpaceDN/>
              <w:adjustRightInd/>
              <w:spacing w:after="0" w:line="240" w:lineRule="auto"/>
              <w:jc w:val="left"/>
              <w:rPr>
                <w:rFonts w:eastAsia="Times New Roman"/>
                <w:bCs w:val="0"/>
                <w:lang w:eastAsia="fr-FR"/>
              </w:rPr>
            </w:pPr>
          </w:p>
        </w:tc>
      </w:tr>
      <w:tr w:rsidR="00B46DFE" w:rsidRPr="00B46DFE" w:rsidTr="00A713EE">
        <w:trPr>
          <w:trHeight w:val="300"/>
        </w:trPr>
        <w:tc>
          <w:tcPr>
            <w:tcW w:w="2537" w:type="dxa"/>
            <w:vMerge/>
            <w:vAlign w:val="center"/>
            <w:hideMark/>
          </w:tcPr>
          <w:p w:rsidR="00B46DFE" w:rsidRPr="00B46DFE" w:rsidRDefault="00B46DFE" w:rsidP="00A713EE">
            <w:pPr>
              <w:autoSpaceDE/>
              <w:autoSpaceDN/>
              <w:adjustRightInd/>
              <w:spacing w:after="0" w:line="240" w:lineRule="auto"/>
              <w:jc w:val="left"/>
              <w:rPr>
                <w:rFonts w:eastAsia="Times New Roman"/>
                <w:b/>
                <w:color w:val="auto"/>
                <w:lang w:eastAsia="fr-FR"/>
              </w:rPr>
            </w:pPr>
          </w:p>
        </w:tc>
        <w:tc>
          <w:tcPr>
            <w:tcW w:w="3026"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Cs w:val="0"/>
                <w:color w:val="auto"/>
                <w:sz w:val="20"/>
                <w:szCs w:val="20"/>
                <w:lang w:eastAsia="fr-FR"/>
              </w:rPr>
            </w:pPr>
            <w:r w:rsidRPr="00B46DFE">
              <w:rPr>
                <w:rFonts w:eastAsia="Times New Roman"/>
                <w:bCs w:val="0"/>
                <w:color w:val="auto"/>
                <w:sz w:val="20"/>
                <w:szCs w:val="20"/>
                <w:lang w:eastAsia="fr-FR"/>
              </w:rPr>
              <w:t>Services non sanitaires</w:t>
            </w:r>
          </w:p>
        </w:tc>
        <w:tc>
          <w:tcPr>
            <w:tcW w:w="1086" w:type="dxa"/>
            <w:shd w:val="clear" w:color="auto" w:fill="auto"/>
            <w:noWrap/>
            <w:vAlign w:val="center"/>
            <w:hideMark/>
          </w:tcPr>
          <w:p w:rsidR="00B46DFE" w:rsidRPr="00B46DFE" w:rsidRDefault="003B2EB9" w:rsidP="00A713EE">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21441,43</w:t>
            </w:r>
          </w:p>
        </w:tc>
        <w:tc>
          <w:tcPr>
            <w:tcW w:w="1086" w:type="dxa"/>
            <w:vMerge/>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p>
        </w:tc>
        <w:tc>
          <w:tcPr>
            <w:tcW w:w="745" w:type="dxa"/>
            <w:vMerge/>
            <w:vAlign w:val="center"/>
            <w:hideMark/>
          </w:tcPr>
          <w:p w:rsidR="00B46DFE" w:rsidRPr="00B46DFE" w:rsidRDefault="00B46DFE" w:rsidP="00A713EE">
            <w:pPr>
              <w:autoSpaceDE/>
              <w:autoSpaceDN/>
              <w:adjustRightInd/>
              <w:spacing w:after="0" w:line="240" w:lineRule="auto"/>
              <w:jc w:val="left"/>
              <w:rPr>
                <w:rFonts w:eastAsia="Times New Roman"/>
                <w:bCs w:val="0"/>
                <w:lang w:eastAsia="fr-FR"/>
              </w:rPr>
            </w:pPr>
          </w:p>
        </w:tc>
      </w:tr>
      <w:tr w:rsidR="00B46DFE" w:rsidRPr="00B46DFE" w:rsidTr="00A713EE">
        <w:trPr>
          <w:trHeight w:val="300"/>
        </w:trPr>
        <w:tc>
          <w:tcPr>
            <w:tcW w:w="2537" w:type="dxa"/>
            <w:vMerge/>
            <w:vAlign w:val="center"/>
            <w:hideMark/>
          </w:tcPr>
          <w:p w:rsidR="00B46DFE" w:rsidRPr="00B46DFE" w:rsidRDefault="00B46DFE" w:rsidP="00A713EE">
            <w:pPr>
              <w:autoSpaceDE/>
              <w:autoSpaceDN/>
              <w:adjustRightInd/>
              <w:spacing w:after="0" w:line="240" w:lineRule="auto"/>
              <w:jc w:val="left"/>
              <w:rPr>
                <w:rFonts w:eastAsia="Times New Roman"/>
                <w:b/>
                <w:color w:val="auto"/>
                <w:lang w:eastAsia="fr-FR"/>
              </w:rPr>
            </w:pPr>
          </w:p>
        </w:tc>
        <w:tc>
          <w:tcPr>
            <w:tcW w:w="3026"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Cs w:val="0"/>
                <w:color w:val="auto"/>
                <w:sz w:val="20"/>
                <w:szCs w:val="20"/>
                <w:lang w:eastAsia="fr-FR"/>
              </w:rPr>
            </w:pPr>
            <w:r w:rsidRPr="00B46DFE">
              <w:rPr>
                <w:rFonts w:eastAsia="Times New Roman"/>
                <w:bCs w:val="0"/>
                <w:color w:val="auto"/>
                <w:sz w:val="20"/>
                <w:szCs w:val="20"/>
                <w:lang w:eastAsia="fr-FR"/>
              </w:rPr>
              <w:t>Biens non sanitaire</w:t>
            </w:r>
          </w:p>
        </w:tc>
        <w:tc>
          <w:tcPr>
            <w:tcW w:w="1086" w:type="dxa"/>
            <w:shd w:val="clear" w:color="auto" w:fill="auto"/>
            <w:noWrap/>
            <w:vAlign w:val="center"/>
            <w:hideMark/>
          </w:tcPr>
          <w:p w:rsidR="00B46DFE" w:rsidRPr="00B46DFE" w:rsidRDefault="003B2EB9" w:rsidP="00A713EE">
            <w:pPr>
              <w:autoSpaceDE/>
              <w:autoSpaceDN/>
              <w:adjustRightInd/>
              <w:spacing w:after="0" w:line="240" w:lineRule="auto"/>
              <w:jc w:val="center"/>
              <w:rPr>
                <w:rFonts w:eastAsia="Times New Roman"/>
                <w:bCs w:val="0"/>
                <w:color w:val="auto"/>
                <w:sz w:val="20"/>
                <w:szCs w:val="20"/>
                <w:lang w:eastAsia="fr-FR"/>
              </w:rPr>
            </w:pPr>
            <w:r>
              <w:rPr>
                <w:rFonts w:eastAsia="Times New Roman"/>
                <w:bCs w:val="0"/>
                <w:color w:val="auto"/>
                <w:sz w:val="20"/>
                <w:szCs w:val="20"/>
                <w:lang w:eastAsia="fr-FR"/>
              </w:rPr>
              <w:t>19277,38</w:t>
            </w:r>
          </w:p>
        </w:tc>
        <w:tc>
          <w:tcPr>
            <w:tcW w:w="1086" w:type="dxa"/>
            <w:vMerge/>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p>
        </w:tc>
        <w:tc>
          <w:tcPr>
            <w:tcW w:w="745" w:type="dxa"/>
            <w:vMerge/>
            <w:vAlign w:val="center"/>
            <w:hideMark/>
          </w:tcPr>
          <w:p w:rsidR="00B46DFE" w:rsidRPr="00B46DFE" w:rsidRDefault="00B46DFE" w:rsidP="00A713EE">
            <w:pPr>
              <w:autoSpaceDE/>
              <w:autoSpaceDN/>
              <w:adjustRightInd/>
              <w:spacing w:after="0" w:line="240" w:lineRule="auto"/>
              <w:jc w:val="left"/>
              <w:rPr>
                <w:rFonts w:eastAsia="Times New Roman"/>
                <w:bCs w:val="0"/>
                <w:lang w:eastAsia="fr-FR"/>
              </w:rPr>
            </w:pPr>
          </w:p>
        </w:tc>
      </w:tr>
      <w:tr w:rsidR="00B46DFE" w:rsidRPr="00B46DFE" w:rsidTr="00A713EE">
        <w:trPr>
          <w:trHeight w:val="525"/>
        </w:trPr>
        <w:tc>
          <w:tcPr>
            <w:tcW w:w="2537" w:type="dxa"/>
            <w:vMerge/>
            <w:vAlign w:val="center"/>
            <w:hideMark/>
          </w:tcPr>
          <w:p w:rsidR="00B46DFE" w:rsidRPr="00B46DFE" w:rsidRDefault="00B46DFE" w:rsidP="00A713EE">
            <w:pPr>
              <w:autoSpaceDE/>
              <w:autoSpaceDN/>
              <w:adjustRightInd/>
              <w:spacing w:after="0" w:line="240" w:lineRule="auto"/>
              <w:jc w:val="left"/>
              <w:rPr>
                <w:rFonts w:eastAsia="Times New Roman"/>
                <w:b/>
                <w:color w:val="auto"/>
                <w:lang w:eastAsia="fr-FR"/>
              </w:rPr>
            </w:pPr>
          </w:p>
        </w:tc>
        <w:tc>
          <w:tcPr>
            <w:tcW w:w="3026"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Cs w:val="0"/>
                <w:color w:val="auto"/>
                <w:sz w:val="20"/>
                <w:szCs w:val="20"/>
                <w:lang w:eastAsia="fr-FR"/>
              </w:rPr>
            </w:pPr>
            <w:r w:rsidRPr="00B46DFE">
              <w:rPr>
                <w:rFonts w:eastAsia="Times New Roman"/>
                <w:bCs w:val="0"/>
                <w:color w:val="auto"/>
                <w:sz w:val="20"/>
                <w:szCs w:val="20"/>
                <w:lang w:eastAsia="fr-FR"/>
              </w:rPr>
              <w:t>Autres équipements et services utilisés (n.c.a.)</w:t>
            </w:r>
          </w:p>
        </w:tc>
        <w:tc>
          <w:tcPr>
            <w:tcW w:w="1086" w:type="dxa"/>
            <w:shd w:val="clear" w:color="auto" w:fill="auto"/>
            <w:noWrap/>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r w:rsidRPr="00B46DFE">
              <w:rPr>
                <w:rFonts w:eastAsia="Times New Roman"/>
                <w:bCs w:val="0"/>
                <w:color w:val="auto"/>
                <w:sz w:val="20"/>
                <w:szCs w:val="20"/>
                <w:lang w:eastAsia="fr-FR"/>
              </w:rPr>
              <w:t>1 653,94</w:t>
            </w:r>
          </w:p>
        </w:tc>
        <w:tc>
          <w:tcPr>
            <w:tcW w:w="1086" w:type="dxa"/>
            <w:vMerge/>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p>
        </w:tc>
        <w:tc>
          <w:tcPr>
            <w:tcW w:w="745" w:type="dxa"/>
            <w:vMerge/>
            <w:vAlign w:val="center"/>
            <w:hideMark/>
          </w:tcPr>
          <w:p w:rsidR="00B46DFE" w:rsidRPr="00B46DFE" w:rsidRDefault="00B46DFE" w:rsidP="00A713EE">
            <w:pPr>
              <w:autoSpaceDE/>
              <w:autoSpaceDN/>
              <w:adjustRightInd/>
              <w:spacing w:after="0" w:line="240" w:lineRule="auto"/>
              <w:jc w:val="left"/>
              <w:rPr>
                <w:rFonts w:eastAsia="Times New Roman"/>
                <w:bCs w:val="0"/>
                <w:lang w:eastAsia="fr-FR"/>
              </w:rPr>
            </w:pPr>
          </w:p>
        </w:tc>
      </w:tr>
      <w:tr w:rsidR="00B46DFE" w:rsidRPr="00B46DFE" w:rsidTr="00A713EE">
        <w:trPr>
          <w:trHeight w:val="774"/>
        </w:trPr>
        <w:tc>
          <w:tcPr>
            <w:tcW w:w="2537"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
                <w:color w:val="auto"/>
                <w:lang w:eastAsia="fr-FR"/>
              </w:rPr>
            </w:pPr>
            <w:r w:rsidRPr="00B46DFE">
              <w:rPr>
                <w:rFonts w:eastAsia="Times New Roman"/>
                <w:b/>
                <w:color w:val="auto"/>
                <w:sz w:val="22"/>
                <w:szCs w:val="22"/>
                <w:lang w:eastAsia="fr-FR"/>
              </w:rPr>
              <w:t xml:space="preserve">Autres rubriques de dépenses en ressources (entrées) </w:t>
            </w:r>
          </w:p>
        </w:tc>
        <w:tc>
          <w:tcPr>
            <w:tcW w:w="3026"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Cs w:val="0"/>
                <w:color w:val="auto"/>
                <w:sz w:val="20"/>
                <w:szCs w:val="20"/>
                <w:lang w:eastAsia="fr-FR"/>
              </w:rPr>
            </w:pPr>
            <w:r w:rsidRPr="00B46DFE">
              <w:rPr>
                <w:rFonts w:eastAsia="Times New Roman"/>
                <w:bCs w:val="0"/>
                <w:color w:val="auto"/>
                <w:sz w:val="20"/>
                <w:szCs w:val="20"/>
                <w:lang w:eastAsia="fr-FR"/>
              </w:rPr>
              <w:t>Autres rubriques de dépenses</w:t>
            </w:r>
          </w:p>
        </w:tc>
        <w:tc>
          <w:tcPr>
            <w:tcW w:w="1086" w:type="dxa"/>
            <w:shd w:val="clear" w:color="auto" w:fill="auto"/>
            <w:noWrap/>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r w:rsidRPr="00B46DFE">
              <w:rPr>
                <w:rFonts w:eastAsia="Times New Roman"/>
                <w:bCs w:val="0"/>
                <w:color w:val="auto"/>
                <w:sz w:val="20"/>
                <w:szCs w:val="20"/>
                <w:lang w:eastAsia="fr-FR"/>
              </w:rPr>
              <w:t>13,20</w:t>
            </w:r>
          </w:p>
        </w:tc>
        <w:tc>
          <w:tcPr>
            <w:tcW w:w="1086" w:type="dxa"/>
            <w:shd w:val="clear" w:color="auto" w:fill="auto"/>
            <w:noWrap/>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r w:rsidRPr="00B46DFE">
              <w:rPr>
                <w:rFonts w:eastAsia="Times New Roman"/>
                <w:bCs w:val="0"/>
                <w:color w:val="auto"/>
                <w:sz w:val="20"/>
                <w:szCs w:val="20"/>
                <w:lang w:eastAsia="fr-FR"/>
              </w:rPr>
              <w:t>13,20</w:t>
            </w:r>
          </w:p>
        </w:tc>
        <w:tc>
          <w:tcPr>
            <w:tcW w:w="745" w:type="dxa"/>
            <w:shd w:val="clear" w:color="auto" w:fill="auto"/>
            <w:noWrap/>
            <w:vAlign w:val="center"/>
            <w:hideMark/>
          </w:tcPr>
          <w:p w:rsidR="00B46DFE" w:rsidRPr="00B46DFE" w:rsidRDefault="00B46DFE" w:rsidP="00A713EE">
            <w:pPr>
              <w:autoSpaceDE/>
              <w:autoSpaceDN/>
              <w:adjustRightInd/>
              <w:spacing w:after="0" w:line="240" w:lineRule="auto"/>
              <w:jc w:val="left"/>
              <w:rPr>
                <w:rFonts w:eastAsia="Times New Roman"/>
                <w:bCs w:val="0"/>
                <w:lang w:eastAsia="fr-FR"/>
              </w:rPr>
            </w:pPr>
            <w:r w:rsidRPr="00B46DFE">
              <w:rPr>
                <w:rFonts w:eastAsia="Times New Roman"/>
                <w:bCs w:val="0"/>
                <w:sz w:val="22"/>
                <w:szCs w:val="22"/>
                <w:lang w:eastAsia="fr-FR"/>
              </w:rPr>
              <w:t>0,003</w:t>
            </w:r>
          </w:p>
        </w:tc>
      </w:tr>
      <w:tr w:rsidR="00B46DFE" w:rsidRPr="00B46DFE" w:rsidTr="00A713EE">
        <w:trPr>
          <w:trHeight w:val="1155"/>
        </w:trPr>
        <w:tc>
          <w:tcPr>
            <w:tcW w:w="2537"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
                <w:color w:val="auto"/>
                <w:lang w:eastAsia="fr-FR"/>
              </w:rPr>
            </w:pPr>
            <w:r w:rsidRPr="00B46DFE">
              <w:rPr>
                <w:rFonts w:eastAsia="Times New Roman"/>
                <w:b/>
                <w:color w:val="auto"/>
                <w:sz w:val="22"/>
                <w:szCs w:val="22"/>
                <w:lang w:eastAsia="fr-FR"/>
              </w:rPr>
              <w:t>Facteurs de prestation de soins de santé non spécifiés (n.c.a.)</w:t>
            </w:r>
          </w:p>
        </w:tc>
        <w:tc>
          <w:tcPr>
            <w:tcW w:w="3026" w:type="dxa"/>
            <w:shd w:val="clear" w:color="auto" w:fill="auto"/>
            <w:vAlign w:val="center"/>
            <w:hideMark/>
          </w:tcPr>
          <w:p w:rsidR="00B46DFE" w:rsidRPr="00B46DFE" w:rsidRDefault="00B46DFE" w:rsidP="00A713EE">
            <w:pPr>
              <w:autoSpaceDE/>
              <w:autoSpaceDN/>
              <w:adjustRightInd/>
              <w:spacing w:after="0" w:line="240" w:lineRule="auto"/>
              <w:jc w:val="left"/>
              <w:rPr>
                <w:rFonts w:eastAsia="Times New Roman"/>
                <w:bCs w:val="0"/>
                <w:color w:val="auto"/>
                <w:sz w:val="20"/>
                <w:szCs w:val="20"/>
                <w:lang w:eastAsia="fr-FR"/>
              </w:rPr>
            </w:pPr>
            <w:r w:rsidRPr="00B46DFE">
              <w:rPr>
                <w:rFonts w:eastAsia="Times New Roman"/>
                <w:bCs w:val="0"/>
                <w:color w:val="auto"/>
                <w:sz w:val="20"/>
                <w:szCs w:val="20"/>
                <w:lang w:eastAsia="fr-FR"/>
              </w:rPr>
              <w:t> </w:t>
            </w:r>
          </w:p>
        </w:tc>
        <w:tc>
          <w:tcPr>
            <w:tcW w:w="1086" w:type="dxa"/>
            <w:shd w:val="clear" w:color="auto" w:fill="auto"/>
            <w:noWrap/>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r w:rsidRPr="00B46DFE">
              <w:rPr>
                <w:rFonts w:eastAsia="Times New Roman"/>
                <w:bCs w:val="0"/>
                <w:color w:val="auto"/>
                <w:sz w:val="20"/>
                <w:szCs w:val="20"/>
                <w:lang w:eastAsia="fr-FR"/>
              </w:rPr>
              <w:t>44,57</w:t>
            </w:r>
          </w:p>
        </w:tc>
        <w:tc>
          <w:tcPr>
            <w:tcW w:w="1086" w:type="dxa"/>
            <w:shd w:val="clear" w:color="auto" w:fill="auto"/>
            <w:noWrap/>
            <w:vAlign w:val="center"/>
            <w:hideMark/>
          </w:tcPr>
          <w:p w:rsidR="00B46DFE" w:rsidRPr="00B46DFE" w:rsidRDefault="00B46DFE" w:rsidP="00A713EE">
            <w:pPr>
              <w:autoSpaceDE/>
              <w:autoSpaceDN/>
              <w:adjustRightInd/>
              <w:spacing w:after="0" w:line="240" w:lineRule="auto"/>
              <w:jc w:val="center"/>
              <w:rPr>
                <w:rFonts w:eastAsia="Times New Roman"/>
                <w:bCs w:val="0"/>
                <w:color w:val="auto"/>
                <w:sz w:val="20"/>
                <w:szCs w:val="20"/>
                <w:lang w:eastAsia="fr-FR"/>
              </w:rPr>
            </w:pPr>
            <w:r w:rsidRPr="00B46DFE">
              <w:rPr>
                <w:rFonts w:eastAsia="Times New Roman"/>
                <w:bCs w:val="0"/>
                <w:color w:val="auto"/>
                <w:sz w:val="20"/>
                <w:szCs w:val="20"/>
                <w:lang w:eastAsia="fr-FR"/>
              </w:rPr>
              <w:t>44,57</w:t>
            </w:r>
          </w:p>
        </w:tc>
        <w:tc>
          <w:tcPr>
            <w:tcW w:w="745" w:type="dxa"/>
            <w:shd w:val="clear" w:color="auto" w:fill="auto"/>
            <w:noWrap/>
            <w:vAlign w:val="center"/>
            <w:hideMark/>
          </w:tcPr>
          <w:p w:rsidR="00B46DFE" w:rsidRPr="00B46DFE" w:rsidRDefault="00B46DFE" w:rsidP="00A713EE">
            <w:pPr>
              <w:autoSpaceDE/>
              <w:autoSpaceDN/>
              <w:adjustRightInd/>
              <w:spacing w:after="0" w:line="240" w:lineRule="auto"/>
              <w:jc w:val="left"/>
              <w:rPr>
                <w:rFonts w:eastAsia="Times New Roman"/>
                <w:bCs w:val="0"/>
                <w:lang w:eastAsia="fr-FR"/>
              </w:rPr>
            </w:pPr>
            <w:r w:rsidRPr="00B46DFE">
              <w:rPr>
                <w:rFonts w:eastAsia="Times New Roman"/>
                <w:bCs w:val="0"/>
                <w:sz w:val="22"/>
                <w:szCs w:val="22"/>
                <w:lang w:eastAsia="fr-FR"/>
              </w:rPr>
              <w:t>0,01</w:t>
            </w:r>
            <w:r w:rsidR="005157E7">
              <w:rPr>
                <w:rFonts w:eastAsia="Times New Roman"/>
                <w:bCs w:val="0"/>
                <w:sz w:val="22"/>
                <w:szCs w:val="22"/>
                <w:lang w:eastAsia="fr-FR"/>
              </w:rPr>
              <w:t>1</w:t>
            </w:r>
          </w:p>
        </w:tc>
      </w:tr>
      <w:tr w:rsidR="00B46DFE" w:rsidRPr="00D56301" w:rsidTr="00A713EE">
        <w:trPr>
          <w:trHeight w:val="315"/>
        </w:trPr>
        <w:tc>
          <w:tcPr>
            <w:tcW w:w="2537" w:type="dxa"/>
            <w:shd w:val="clear" w:color="auto" w:fill="auto"/>
            <w:noWrap/>
            <w:vAlign w:val="center"/>
            <w:hideMark/>
          </w:tcPr>
          <w:p w:rsidR="00B46DFE" w:rsidRPr="00D56301" w:rsidRDefault="00B46DFE" w:rsidP="00A713EE">
            <w:pPr>
              <w:autoSpaceDE/>
              <w:autoSpaceDN/>
              <w:adjustRightInd/>
              <w:spacing w:after="0" w:line="240" w:lineRule="auto"/>
              <w:jc w:val="left"/>
              <w:rPr>
                <w:rFonts w:eastAsia="Times New Roman"/>
                <w:b/>
                <w:color w:val="auto"/>
                <w:sz w:val="20"/>
                <w:szCs w:val="20"/>
                <w:lang w:eastAsia="fr-FR"/>
              </w:rPr>
            </w:pPr>
            <w:r w:rsidRPr="00D56301">
              <w:rPr>
                <w:rFonts w:eastAsia="Times New Roman"/>
                <w:b/>
                <w:color w:val="auto"/>
                <w:sz w:val="20"/>
                <w:szCs w:val="20"/>
                <w:lang w:eastAsia="fr-FR"/>
              </w:rPr>
              <w:t>Total</w:t>
            </w:r>
          </w:p>
        </w:tc>
        <w:tc>
          <w:tcPr>
            <w:tcW w:w="3026" w:type="dxa"/>
            <w:shd w:val="clear" w:color="auto" w:fill="auto"/>
            <w:vAlign w:val="center"/>
            <w:hideMark/>
          </w:tcPr>
          <w:p w:rsidR="00B46DFE" w:rsidRPr="00D56301" w:rsidRDefault="00B46DFE" w:rsidP="00A713EE">
            <w:pPr>
              <w:autoSpaceDE/>
              <w:autoSpaceDN/>
              <w:adjustRightInd/>
              <w:spacing w:after="0" w:line="240" w:lineRule="auto"/>
              <w:jc w:val="left"/>
              <w:rPr>
                <w:rFonts w:eastAsia="Times New Roman"/>
                <w:b/>
                <w:bCs w:val="0"/>
                <w:color w:val="auto"/>
                <w:sz w:val="20"/>
                <w:szCs w:val="20"/>
                <w:lang w:eastAsia="fr-FR"/>
              </w:rPr>
            </w:pPr>
            <w:r w:rsidRPr="00D56301">
              <w:rPr>
                <w:rFonts w:eastAsia="Times New Roman"/>
                <w:b/>
                <w:bCs w:val="0"/>
                <w:color w:val="auto"/>
                <w:sz w:val="20"/>
                <w:szCs w:val="20"/>
                <w:lang w:eastAsia="fr-FR"/>
              </w:rPr>
              <w:t> </w:t>
            </w:r>
          </w:p>
        </w:tc>
        <w:tc>
          <w:tcPr>
            <w:tcW w:w="1086" w:type="dxa"/>
            <w:shd w:val="clear" w:color="auto" w:fill="auto"/>
            <w:noWrap/>
            <w:vAlign w:val="center"/>
            <w:hideMark/>
          </w:tcPr>
          <w:p w:rsidR="00B46DFE" w:rsidRPr="00D56301" w:rsidRDefault="00B46DFE" w:rsidP="0000799D">
            <w:pPr>
              <w:autoSpaceDE/>
              <w:autoSpaceDN/>
              <w:adjustRightInd/>
              <w:spacing w:after="0" w:line="240" w:lineRule="auto"/>
              <w:jc w:val="center"/>
              <w:rPr>
                <w:rFonts w:eastAsia="Times New Roman"/>
                <w:b/>
                <w:bCs w:val="0"/>
                <w:color w:val="auto"/>
                <w:sz w:val="20"/>
                <w:szCs w:val="20"/>
                <w:lang w:eastAsia="fr-FR"/>
              </w:rPr>
            </w:pPr>
            <w:r w:rsidRPr="00D56301">
              <w:rPr>
                <w:rFonts w:eastAsia="Times New Roman"/>
                <w:b/>
                <w:bCs w:val="0"/>
                <w:color w:val="auto"/>
                <w:sz w:val="20"/>
                <w:szCs w:val="20"/>
                <w:lang w:eastAsia="fr-FR"/>
              </w:rPr>
              <w:t xml:space="preserve">401 </w:t>
            </w:r>
            <w:r w:rsidR="0000799D">
              <w:rPr>
                <w:rFonts w:eastAsia="Times New Roman"/>
                <w:b/>
                <w:bCs w:val="0"/>
                <w:color w:val="auto"/>
                <w:sz w:val="20"/>
                <w:szCs w:val="20"/>
                <w:lang w:eastAsia="fr-FR"/>
              </w:rPr>
              <w:t>310,37</w:t>
            </w:r>
          </w:p>
        </w:tc>
        <w:tc>
          <w:tcPr>
            <w:tcW w:w="1086" w:type="dxa"/>
            <w:shd w:val="clear" w:color="auto" w:fill="auto"/>
            <w:noWrap/>
            <w:vAlign w:val="center"/>
            <w:hideMark/>
          </w:tcPr>
          <w:p w:rsidR="00B46DFE" w:rsidRPr="00D56301" w:rsidRDefault="00B46DFE" w:rsidP="00B12F84">
            <w:pPr>
              <w:autoSpaceDE/>
              <w:autoSpaceDN/>
              <w:adjustRightInd/>
              <w:spacing w:after="0" w:line="240" w:lineRule="auto"/>
              <w:jc w:val="center"/>
              <w:rPr>
                <w:rFonts w:eastAsia="Times New Roman"/>
                <w:b/>
                <w:bCs w:val="0"/>
                <w:color w:val="auto"/>
                <w:sz w:val="20"/>
                <w:szCs w:val="20"/>
                <w:lang w:eastAsia="fr-FR"/>
              </w:rPr>
            </w:pPr>
            <w:r w:rsidRPr="00D56301">
              <w:rPr>
                <w:rFonts w:eastAsia="Times New Roman"/>
                <w:b/>
                <w:bCs w:val="0"/>
                <w:color w:val="auto"/>
                <w:sz w:val="20"/>
                <w:szCs w:val="20"/>
                <w:lang w:eastAsia="fr-FR"/>
              </w:rPr>
              <w:t xml:space="preserve">401 </w:t>
            </w:r>
            <w:r w:rsidR="00B12F84">
              <w:rPr>
                <w:rFonts w:eastAsia="Times New Roman"/>
                <w:b/>
                <w:bCs w:val="0"/>
                <w:color w:val="auto"/>
                <w:sz w:val="20"/>
                <w:szCs w:val="20"/>
                <w:lang w:eastAsia="fr-FR"/>
              </w:rPr>
              <w:t>310,37</w:t>
            </w:r>
          </w:p>
        </w:tc>
        <w:tc>
          <w:tcPr>
            <w:tcW w:w="745" w:type="dxa"/>
            <w:shd w:val="clear" w:color="auto" w:fill="auto"/>
            <w:noWrap/>
            <w:vAlign w:val="center"/>
            <w:hideMark/>
          </w:tcPr>
          <w:p w:rsidR="00B46DFE" w:rsidRPr="00D56301" w:rsidRDefault="00B46DFE" w:rsidP="00A713EE">
            <w:pPr>
              <w:autoSpaceDE/>
              <w:autoSpaceDN/>
              <w:adjustRightInd/>
              <w:spacing w:after="0" w:line="240" w:lineRule="auto"/>
              <w:jc w:val="left"/>
              <w:rPr>
                <w:rFonts w:eastAsia="Times New Roman"/>
                <w:b/>
                <w:bCs w:val="0"/>
                <w:lang w:eastAsia="fr-FR"/>
              </w:rPr>
            </w:pPr>
            <w:r w:rsidRPr="00D56301">
              <w:rPr>
                <w:rFonts w:eastAsia="Times New Roman"/>
                <w:b/>
                <w:bCs w:val="0"/>
                <w:sz w:val="22"/>
                <w:szCs w:val="22"/>
                <w:lang w:eastAsia="fr-FR"/>
              </w:rPr>
              <w:t>100,00</w:t>
            </w:r>
          </w:p>
        </w:tc>
      </w:tr>
    </w:tbl>
    <w:p w:rsidR="00AD022B" w:rsidRDefault="00E36B0E" w:rsidP="00452F67">
      <w:pPr>
        <w:spacing w:before="240"/>
        <w:rPr>
          <w:lang w:eastAsia="en-US"/>
        </w:rPr>
      </w:pPr>
      <w:r w:rsidRPr="0044670F">
        <w:rPr>
          <w:lang w:eastAsia="en-US"/>
        </w:rPr>
        <w:t>En s’intéressant aux dépenses engagées dans les facteurs de prestation, on constate que ce sont les équipements et services utilisés qui ont coûté plus de la moitié (6</w:t>
      </w:r>
      <w:r w:rsidR="00B46DFE">
        <w:rPr>
          <w:lang w:eastAsia="en-US"/>
        </w:rPr>
        <w:t>8</w:t>
      </w:r>
      <w:r w:rsidRPr="0044670F">
        <w:rPr>
          <w:lang w:eastAsia="en-US"/>
        </w:rPr>
        <w:t>,</w:t>
      </w:r>
      <w:r w:rsidR="00374F02">
        <w:rPr>
          <w:lang w:eastAsia="en-US"/>
        </w:rPr>
        <w:t>91</w:t>
      </w:r>
      <w:r w:rsidRPr="0044670F">
        <w:rPr>
          <w:lang w:eastAsia="en-US"/>
        </w:rPr>
        <w:t xml:space="preserve">%) des dépenses. Ce </w:t>
      </w:r>
      <w:r w:rsidRPr="000D2331">
        <w:rPr>
          <w:lang w:eastAsia="en-US"/>
        </w:rPr>
        <w:t xml:space="preserve">poste est constitué à </w:t>
      </w:r>
      <w:r w:rsidR="005A1E28" w:rsidRPr="00947090">
        <w:rPr>
          <w:lang w:eastAsia="en-US"/>
        </w:rPr>
        <w:t>83,</w:t>
      </w:r>
      <w:r w:rsidR="00374F02" w:rsidRPr="00947090">
        <w:rPr>
          <w:lang w:eastAsia="en-US"/>
        </w:rPr>
        <w:t>0</w:t>
      </w:r>
      <w:r w:rsidR="00374F02">
        <w:rPr>
          <w:lang w:eastAsia="en-US"/>
        </w:rPr>
        <w:t>1</w:t>
      </w:r>
      <w:r w:rsidRPr="000D2331">
        <w:rPr>
          <w:lang w:eastAsia="en-US"/>
        </w:rPr>
        <w:t>% de</w:t>
      </w:r>
      <w:r w:rsidR="005A1E28" w:rsidRPr="00947090">
        <w:rPr>
          <w:lang w:eastAsia="en-US"/>
        </w:rPr>
        <w:t xml:space="preserve"> biens de santé</w:t>
      </w:r>
      <w:r w:rsidR="00AD022B">
        <w:rPr>
          <w:lang w:eastAsia="en-US"/>
        </w:rPr>
        <w:t xml:space="preserve">. </w:t>
      </w:r>
    </w:p>
    <w:p w:rsidR="00E36B0E" w:rsidRPr="0044670F" w:rsidRDefault="00AD022B" w:rsidP="00452F67">
      <w:pPr>
        <w:spacing w:before="240"/>
        <w:rPr>
          <w:lang w:eastAsia="en-US"/>
        </w:rPr>
      </w:pPr>
      <w:r>
        <w:rPr>
          <w:lang w:eastAsia="en-US"/>
        </w:rPr>
        <w:t>Quant aux produits pharmaceutiques</w:t>
      </w:r>
      <w:r w:rsidR="005157E7">
        <w:rPr>
          <w:lang w:eastAsia="en-US"/>
        </w:rPr>
        <w:t>,</w:t>
      </w:r>
      <w:r>
        <w:rPr>
          <w:lang w:eastAsia="en-US"/>
        </w:rPr>
        <w:t xml:space="preserve"> les dépenses s’élèvent à 155, 792 milliards de FCA soit 67,85% des biens sanitaires.</w:t>
      </w:r>
      <w:r w:rsidR="00625D22" w:rsidRPr="00C63457">
        <w:rPr>
          <w:lang w:eastAsia="en-US"/>
        </w:rPr>
        <w:t xml:space="preserve"> Ce qui veut dire que l’épineux problème du poids des médicaments dans les dépenses de santé demeure en 2014.</w:t>
      </w:r>
    </w:p>
    <w:p w:rsidR="00B46DFE" w:rsidRDefault="00E36B0E" w:rsidP="00452F67">
      <w:pPr>
        <w:rPr>
          <w:lang w:eastAsia="en-US"/>
        </w:rPr>
      </w:pPr>
      <w:r w:rsidRPr="00B46DFE">
        <w:rPr>
          <w:lang w:eastAsia="en-US"/>
        </w:rPr>
        <w:t>Ensuite, c’est la rémunération des employés qui occupe le deuxième poste le plus grand de ces dépenses</w:t>
      </w:r>
      <w:r w:rsidR="00AD022B" w:rsidRPr="00947090">
        <w:rPr>
          <w:lang w:eastAsia="en-US"/>
        </w:rPr>
        <w:t>3</w:t>
      </w:r>
      <w:r w:rsidR="00AD022B">
        <w:rPr>
          <w:lang w:eastAsia="en-US"/>
        </w:rPr>
        <w:t>0</w:t>
      </w:r>
      <w:r w:rsidR="005A1E28" w:rsidRPr="00947090">
        <w:rPr>
          <w:lang w:eastAsia="en-US"/>
        </w:rPr>
        <w:t>,</w:t>
      </w:r>
      <w:r w:rsidR="00AD022B">
        <w:rPr>
          <w:lang w:eastAsia="en-US"/>
        </w:rPr>
        <w:t>96</w:t>
      </w:r>
      <w:r w:rsidR="005A1E28" w:rsidRPr="00947090">
        <w:rPr>
          <w:lang w:eastAsia="en-US"/>
        </w:rPr>
        <w:t>%</w:t>
      </w:r>
      <w:r w:rsidR="00B46DFE">
        <w:rPr>
          <w:lang w:eastAsia="en-US"/>
        </w:rPr>
        <w:t>.</w:t>
      </w:r>
      <w:r w:rsidR="000D2331">
        <w:rPr>
          <w:lang w:eastAsia="en-US"/>
        </w:rPr>
        <w:t xml:space="preserve"> La </w:t>
      </w:r>
      <w:r w:rsidR="006F00AD">
        <w:rPr>
          <w:lang w:eastAsia="en-US"/>
        </w:rPr>
        <w:t xml:space="preserve"> quasi-totalité</w:t>
      </w:r>
      <w:r w:rsidR="000D2331">
        <w:rPr>
          <w:lang w:eastAsia="en-US"/>
        </w:rPr>
        <w:t xml:space="preserve"> de ce poste revient aux traitements et salaires avec 99,</w:t>
      </w:r>
      <w:r w:rsidR="00AD022B">
        <w:rPr>
          <w:lang w:eastAsia="en-US"/>
        </w:rPr>
        <w:t>9</w:t>
      </w:r>
      <w:r w:rsidR="000F2149">
        <w:rPr>
          <w:lang w:eastAsia="en-US"/>
        </w:rPr>
        <w:t>4</w:t>
      </w:r>
      <w:r w:rsidR="000D2331">
        <w:rPr>
          <w:lang w:eastAsia="en-US"/>
        </w:rPr>
        <w:t>%.</w:t>
      </w:r>
    </w:p>
    <w:p w:rsidR="00B46DFE" w:rsidRDefault="00E36B0E" w:rsidP="00452F67">
      <w:pPr>
        <w:rPr>
          <w:lang w:eastAsia="en-US"/>
        </w:rPr>
      </w:pPr>
      <w:r w:rsidRPr="00B46DFE">
        <w:rPr>
          <w:lang w:eastAsia="en-US"/>
        </w:rPr>
        <w:t>Les autres, à savoir autres facteurs de prestation de soins de santé et rémunération des professionnels particuliers,  n’ont utilisé chacun que moins de 1 % du total</w:t>
      </w:r>
      <w:r w:rsidR="009F0AC2">
        <w:rPr>
          <w:lang w:eastAsia="en-US"/>
        </w:rPr>
        <w:t>.</w:t>
      </w:r>
    </w:p>
    <w:p w:rsidR="00E36B0E" w:rsidRPr="004D16E7" w:rsidRDefault="00625D22" w:rsidP="00CA61CF">
      <w:pPr>
        <w:rPr>
          <w:lang w:eastAsia="en-US"/>
        </w:rPr>
      </w:pPr>
      <w:r w:rsidRPr="004D16E7">
        <w:rPr>
          <w:lang w:eastAsia="en-US"/>
        </w:rPr>
        <w:t>Les prestataires de soins hospitaliers ont réparti leurs dépenses en facteurs de prestation entre les « services et équipements utilisés » pour 66,</w:t>
      </w:r>
      <w:r w:rsidR="004402F9">
        <w:rPr>
          <w:lang w:eastAsia="en-US"/>
        </w:rPr>
        <w:t>29 % ;</w:t>
      </w:r>
      <w:r w:rsidRPr="004D16E7">
        <w:rPr>
          <w:lang w:eastAsia="en-US"/>
        </w:rPr>
        <w:t xml:space="preserve"> les « rémunérations des employés » pour 33,</w:t>
      </w:r>
      <w:r w:rsidR="004402F9">
        <w:rPr>
          <w:lang w:eastAsia="en-US"/>
        </w:rPr>
        <w:t>34</w:t>
      </w:r>
      <w:r w:rsidRPr="004D16E7">
        <w:rPr>
          <w:lang w:eastAsia="en-US"/>
        </w:rPr>
        <w:t>% et 0,37 % pour « autres facteurs de prestation de soins de santé ».</w:t>
      </w:r>
    </w:p>
    <w:p w:rsidR="00E36B0E" w:rsidRPr="004D16E7" w:rsidRDefault="00625D22" w:rsidP="00CA61CF">
      <w:pPr>
        <w:rPr>
          <w:lang w:eastAsia="en-US"/>
        </w:rPr>
      </w:pPr>
      <w:r w:rsidRPr="004D16E7">
        <w:rPr>
          <w:lang w:eastAsia="en-US"/>
        </w:rPr>
        <w:t>Les prestataires de soins ambulatoires ont réparti leurs dépenses en facteurs de prestation entre« services et équipements utilisés » pour 70,34 %et « rémunérations des employés » pour 29,</w:t>
      </w:r>
      <w:r w:rsidR="0047302F" w:rsidRPr="004D16E7">
        <w:rPr>
          <w:lang w:eastAsia="en-US"/>
        </w:rPr>
        <w:t>66</w:t>
      </w:r>
      <w:r w:rsidR="00AC269B">
        <w:rPr>
          <w:lang w:eastAsia="en-US"/>
        </w:rPr>
        <w:t xml:space="preserve">% </w:t>
      </w:r>
      <w:r w:rsidRPr="004D16E7">
        <w:rPr>
          <w:lang w:eastAsia="en-US"/>
        </w:rPr>
        <w:t>et « services et équipements utilisés » pour 64,69 %.</w:t>
      </w:r>
    </w:p>
    <w:p w:rsidR="00E36B0E" w:rsidRPr="004D16E7" w:rsidRDefault="00625D22">
      <w:pPr>
        <w:rPr>
          <w:lang w:eastAsia="en-US"/>
        </w:rPr>
      </w:pPr>
      <w:r w:rsidRPr="004D16E7">
        <w:rPr>
          <w:lang w:eastAsia="en-US"/>
        </w:rPr>
        <w:t>Quant aux prestataires de soins préventifs, ils ont réparti leurs dépenses en facteurs de prestation comme suit : 87,94 % pour  « services et équipements utilisés » et 12,06% pour « rémunérations des employés ».</w:t>
      </w:r>
    </w:p>
    <w:p w:rsidR="00E36B0E" w:rsidRPr="0044670F" w:rsidRDefault="00625D22">
      <w:pPr>
        <w:rPr>
          <w:lang w:eastAsia="en-US"/>
        </w:rPr>
      </w:pPr>
      <w:r w:rsidRPr="004D16E7">
        <w:rPr>
          <w:lang w:eastAsia="en-US"/>
        </w:rPr>
        <w:t>Les prestataires de services administratifs et financement du système de soins de santé ont utilisé tous les quatre importants facteurs de prestations  avec respectivement 40,07% pour « ser</w:t>
      </w:r>
      <w:r w:rsidR="004D16E7">
        <w:rPr>
          <w:lang w:eastAsia="en-US"/>
        </w:rPr>
        <w:t>vices et équipements utilisés » ;</w:t>
      </w:r>
      <w:r w:rsidRPr="004D16E7">
        <w:rPr>
          <w:lang w:eastAsia="en-US"/>
        </w:rPr>
        <w:t xml:space="preserve"> 59,70 % pour « rémunérations des employés », 0,99 %le reste est reparti entre  pour les  « autres facteurs de prestation des soins de santé et 0,05 % et pour« rémunérations des professionnels particuliers ».</w:t>
      </w:r>
    </w:p>
    <w:p w:rsidR="00E36B0E" w:rsidRPr="0044670F" w:rsidRDefault="00E36B0E" w:rsidP="00965108">
      <w:pPr>
        <w:pStyle w:val="Titre4"/>
        <w:numPr>
          <w:ilvl w:val="3"/>
          <w:numId w:val="37"/>
        </w:numPr>
        <w:autoSpaceDE/>
        <w:autoSpaceDN/>
        <w:adjustRightInd/>
        <w:spacing w:after="0" w:line="240" w:lineRule="auto"/>
        <w:jc w:val="left"/>
      </w:pPr>
      <w:bookmarkStart w:id="37" w:name="_Toc413941233"/>
      <w:r w:rsidRPr="0044670F">
        <w:t>Dépenses c</w:t>
      </w:r>
      <w:r w:rsidR="00171962">
        <w:t>ourantes par fonction sanitaire</w:t>
      </w:r>
      <w:bookmarkEnd w:id="37"/>
    </w:p>
    <w:p w:rsidR="00965108" w:rsidRDefault="00965108" w:rsidP="00965108">
      <w:pPr>
        <w:spacing w:after="120" w:line="312" w:lineRule="auto"/>
        <w:rPr>
          <w:lang w:eastAsia="en-US"/>
        </w:rPr>
      </w:pPr>
    </w:p>
    <w:p w:rsidR="002A412D" w:rsidRPr="00F157C4" w:rsidRDefault="002A412D" w:rsidP="00965108">
      <w:pPr>
        <w:spacing w:after="120" w:line="312" w:lineRule="auto"/>
        <w:rPr>
          <w:lang w:eastAsia="en-US"/>
        </w:rPr>
      </w:pPr>
      <w:r>
        <w:rPr>
          <w:lang w:eastAsia="en-US"/>
        </w:rPr>
        <w:t>Le tableau 3.</w:t>
      </w:r>
      <w:r w:rsidR="00C3017C">
        <w:rPr>
          <w:lang w:eastAsia="en-US"/>
        </w:rPr>
        <w:t>1.</w:t>
      </w:r>
      <w:r>
        <w:rPr>
          <w:lang w:eastAsia="en-US"/>
        </w:rPr>
        <w:t>7 Récapitulatif d</w:t>
      </w:r>
      <w:r w:rsidR="00E36B0E" w:rsidRPr="0044670F">
        <w:rPr>
          <w:lang w:eastAsia="en-US"/>
        </w:rPr>
        <w:t>es dépenses courante</w:t>
      </w:r>
      <w:r w:rsidR="00171962">
        <w:rPr>
          <w:lang w:eastAsia="en-US"/>
        </w:rPr>
        <w:t xml:space="preserve">s de santé par fonction en </w:t>
      </w:r>
      <w:r w:rsidR="001637FA">
        <w:rPr>
          <w:lang w:eastAsia="en-US"/>
        </w:rPr>
        <w:t>2014</w:t>
      </w:r>
      <w:r>
        <w:rPr>
          <w:lang w:eastAsia="en-US"/>
        </w:rPr>
        <w:t>.</w:t>
      </w:r>
    </w:p>
    <w:p w:rsidR="00965108" w:rsidRPr="000D2331" w:rsidRDefault="00965108" w:rsidP="000D2331">
      <w:pPr>
        <w:autoSpaceDE/>
        <w:autoSpaceDN/>
        <w:adjustRightInd/>
        <w:spacing w:after="0" w:line="240" w:lineRule="auto"/>
        <w:jc w:val="left"/>
        <w:rPr>
          <w:rFonts w:ascii="Calibri" w:eastAsia="Times New Roman" w:hAnsi="Calibri"/>
          <w:bCs w:val="0"/>
          <w:lang w:eastAsia="fr-FR"/>
        </w:rPr>
      </w:pPr>
      <w:r w:rsidRPr="00965108">
        <w:rPr>
          <w:rFonts w:eastAsia="Times New Roman"/>
          <w:bCs w:val="0"/>
          <w:i/>
          <w:sz w:val="22"/>
          <w:szCs w:val="22"/>
          <w:lang w:eastAsia="fr-FR"/>
        </w:rPr>
        <w:t>Tableau 3.1.7: Répartition des dépenses par fonction sanitaire (en million de Francs CFA)</w:t>
      </w:r>
    </w:p>
    <w:tbl>
      <w:tblPr>
        <w:tblW w:w="9484" w:type="dxa"/>
        <w:tblInd w:w="62" w:type="dxa"/>
        <w:tblCellMar>
          <w:left w:w="70" w:type="dxa"/>
          <w:right w:w="70" w:type="dxa"/>
        </w:tblCellMar>
        <w:tblLook w:val="04A0"/>
      </w:tblPr>
      <w:tblGrid>
        <w:gridCol w:w="2351"/>
        <w:gridCol w:w="2812"/>
        <w:gridCol w:w="1569"/>
        <w:gridCol w:w="1788"/>
        <w:gridCol w:w="964"/>
      </w:tblGrid>
      <w:tr w:rsidR="000D2331" w:rsidRPr="000D2331" w:rsidTr="00C63457">
        <w:trPr>
          <w:trHeight w:val="300"/>
          <w:tblHeader/>
        </w:trPr>
        <w:tc>
          <w:tcPr>
            <w:tcW w:w="5163" w:type="dxa"/>
            <w:gridSpan w:val="2"/>
            <w:tcBorders>
              <w:top w:val="single" w:sz="8" w:space="0" w:color="auto"/>
              <w:left w:val="single" w:sz="8" w:space="0" w:color="auto"/>
              <w:bottom w:val="single" w:sz="4" w:space="0" w:color="auto"/>
              <w:right w:val="single" w:sz="4" w:space="0" w:color="auto"/>
            </w:tcBorders>
            <w:shd w:val="clear" w:color="000000" w:fill="C0C0C0"/>
            <w:vAlign w:val="center"/>
            <w:hideMark/>
          </w:tcPr>
          <w:p w:rsidR="000D2331" w:rsidRPr="000D2331" w:rsidRDefault="000D2331" w:rsidP="000D2331">
            <w:pPr>
              <w:autoSpaceDE/>
              <w:autoSpaceDN/>
              <w:adjustRightInd/>
              <w:spacing w:after="0" w:line="240" w:lineRule="auto"/>
              <w:jc w:val="center"/>
              <w:rPr>
                <w:rFonts w:eastAsia="Times New Roman"/>
                <w:b/>
                <w:lang w:eastAsia="fr-FR"/>
              </w:rPr>
            </w:pPr>
            <w:r w:rsidRPr="000D2331">
              <w:rPr>
                <w:rFonts w:eastAsia="Times New Roman"/>
                <w:b/>
                <w:sz w:val="22"/>
                <w:szCs w:val="22"/>
                <w:lang w:eastAsia="fr-FR"/>
              </w:rPr>
              <w:t>Fonctions des soins de santé</w:t>
            </w:r>
          </w:p>
        </w:tc>
        <w:tc>
          <w:tcPr>
            <w:tcW w:w="3357" w:type="dxa"/>
            <w:gridSpan w:val="2"/>
            <w:tcBorders>
              <w:top w:val="single" w:sz="8" w:space="0" w:color="auto"/>
              <w:left w:val="nil"/>
              <w:bottom w:val="single" w:sz="4" w:space="0" w:color="auto"/>
              <w:right w:val="single" w:sz="4" w:space="0" w:color="auto"/>
            </w:tcBorders>
            <w:shd w:val="clear" w:color="000000" w:fill="C0C0C0"/>
            <w:vAlign w:val="center"/>
            <w:hideMark/>
          </w:tcPr>
          <w:p w:rsidR="000D2331" w:rsidRPr="000D2331" w:rsidRDefault="000D2331" w:rsidP="000D2331">
            <w:pPr>
              <w:autoSpaceDE/>
              <w:autoSpaceDN/>
              <w:adjustRightInd/>
              <w:spacing w:after="0" w:line="240" w:lineRule="auto"/>
              <w:jc w:val="center"/>
              <w:rPr>
                <w:rFonts w:eastAsia="Times New Roman"/>
                <w:b/>
                <w:lang w:eastAsia="fr-FR"/>
              </w:rPr>
            </w:pPr>
            <w:r w:rsidRPr="000D2331">
              <w:rPr>
                <w:rFonts w:eastAsia="Times New Roman"/>
                <w:b/>
                <w:sz w:val="22"/>
                <w:szCs w:val="22"/>
                <w:lang w:eastAsia="fr-FR"/>
              </w:rPr>
              <w:t>Montant en F CFA</w:t>
            </w:r>
          </w:p>
        </w:tc>
        <w:tc>
          <w:tcPr>
            <w:tcW w:w="964" w:type="dxa"/>
            <w:tcBorders>
              <w:top w:val="single" w:sz="8" w:space="0" w:color="auto"/>
              <w:left w:val="nil"/>
              <w:bottom w:val="single" w:sz="4" w:space="0" w:color="auto"/>
              <w:right w:val="single" w:sz="8" w:space="0" w:color="auto"/>
            </w:tcBorders>
            <w:shd w:val="clear" w:color="000000" w:fill="C0C0C0"/>
            <w:vAlign w:val="center"/>
            <w:hideMark/>
          </w:tcPr>
          <w:p w:rsidR="000D2331" w:rsidRPr="000D2331" w:rsidRDefault="000D2331" w:rsidP="000D2331">
            <w:pPr>
              <w:autoSpaceDE/>
              <w:autoSpaceDN/>
              <w:adjustRightInd/>
              <w:spacing w:after="0" w:line="240" w:lineRule="auto"/>
              <w:jc w:val="center"/>
              <w:rPr>
                <w:rFonts w:eastAsia="Times New Roman"/>
                <w:b/>
                <w:lang w:eastAsia="fr-FR"/>
              </w:rPr>
            </w:pPr>
            <w:r w:rsidRPr="000D2331">
              <w:rPr>
                <w:rFonts w:eastAsia="Times New Roman"/>
                <w:b/>
                <w:sz w:val="22"/>
                <w:szCs w:val="22"/>
                <w:lang w:eastAsia="fr-FR"/>
              </w:rPr>
              <w:t>%</w:t>
            </w:r>
          </w:p>
        </w:tc>
      </w:tr>
      <w:tr w:rsidR="000D2331" w:rsidRPr="000D2331" w:rsidTr="00C63457">
        <w:trPr>
          <w:trHeight w:val="300"/>
        </w:trPr>
        <w:tc>
          <w:tcPr>
            <w:tcW w:w="2351" w:type="dxa"/>
            <w:vMerge w:val="restart"/>
            <w:tcBorders>
              <w:top w:val="nil"/>
              <w:left w:val="single" w:sz="8" w:space="0" w:color="auto"/>
              <w:bottom w:val="single" w:sz="4" w:space="0" w:color="000000"/>
              <w:right w:val="single" w:sz="4" w:space="0" w:color="auto"/>
            </w:tcBorders>
            <w:shd w:val="clear" w:color="auto" w:fill="auto"/>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r w:rsidRPr="000D2331">
              <w:rPr>
                <w:rFonts w:eastAsia="Times New Roman"/>
                <w:b/>
                <w:color w:val="auto"/>
                <w:sz w:val="22"/>
                <w:szCs w:val="22"/>
                <w:lang w:eastAsia="fr-FR"/>
              </w:rPr>
              <w:t xml:space="preserve">Soins curatifs </w:t>
            </w: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Soins curatifs hospitaliers</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E12FEC" w:rsidP="00952BA6">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29603</w:t>
            </w:r>
            <w:r w:rsidR="00736142">
              <w:rPr>
                <w:rFonts w:eastAsia="Times New Roman"/>
                <w:bCs w:val="0"/>
                <w:color w:val="auto"/>
                <w:sz w:val="22"/>
                <w:szCs w:val="22"/>
                <w:lang w:eastAsia="fr-FR"/>
              </w:rPr>
              <w:t>,</w:t>
            </w:r>
            <w:r w:rsidR="00952BA6">
              <w:rPr>
                <w:rFonts w:eastAsia="Times New Roman"/>
                <w:bCs w:val="0"/>
                <w:color w:val="auto"/>
                <w:sz w:val="22"/>
                <w:szCs w:val="22"/>
                <w:lang w:eastAsia="fr-FR"/>
              </w:rPr>
              <w:t>40</w:t>
            </w:r>
          </w:p>
        </w:tc>
        <w:tc>
          <w:tcPr>
            <w:tcW w:w="17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2331" w:rsidRPr="000D2331" w:rsidRDefault="00D915BA" w:rsidP="00AE423A">
            <w:pPr>
              <w:autoSpaceDE/>
              <w:autoSpaceDN/>
              <w:adjustRightInd/>
              <w:spacing w:after="0" w:line="240" w:lineRule="auto"/>
              <w:jc w:val="center"/>
              <w:rPr>
                <w:rFonts w:eastAsia="Times New Roman"/>
                <w:bCs w:val="0"/>
                <w:lang w:eastAsia="fr-FR"/>
              </w:rPr>
            </w:pPr>
            <w:r>
              <w:rPr>
                <w:rFonts w:eastAsia="Times New Roman"/>
                <w:bCs w:val="0"/>
                <w:sz w:val="22"/>
                <w:szCs w:val="22"/>
                <w:lang w:eastAsia="fr-FR"/>
              </w:rPr>
              <w:t>235490,</w:t>
            </w:r>
            <w:r w:rsidR="00AE423A">
              <w:rPr>
                <w:rFonts w:eastAsia="Times New Roman"/>
                <w:bCs w:val="0"/>
                <w:sz w:val="22"/>
                <w:szCs w:val="22"/>
                <w:lang w:eastAsia="fr-FR"/>
              </w:rPr>
              <w:t>95</w:t>
            </w:r>
          </w:p>
        </w:tc>
        <w:tc>
          <w:tcPr>
            <w:tcW w:w="964"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0D2331" w:rsidRPr="000D2331" w:rsidRDefault="000D2331" w:rsidP="0025413E">
            <w:pPr>
              <w:autoSpaceDE/>
              <w:autoSpaceDN/>
              <w:adjustRightInd/>
              <w:spacing w:after="0" w:line="240" w:lineRule="auto"/>
              <w:jc w:val="center"/>
              <w:rPr>
                <w:rFonts w:eastAsia="Times New Roman"/>
                <w:bCs w:val="0"/>
                <w:lang w:eastAsia="fr-FR"/>
              </w:rPr>
            </w:pPr>
            <w:r w:rsidRPr="000D2331">
              <w:rPr>
                <w:rFonts w:eastAsia="Times New Roman"/>
                <w:bCs w:val="0"/>
                <w:sz w:val="22"/>
                <w:szCs w:val="22"/>
                <w:lang w:eastAsia="fr-FR"/>
              </w:rPr>
              <w:t>5</w:t>
            </w:r>
            <w:r w:rsidR="00910667">
              <w:rPr>
                <w:rFonts w:eastAsia="Times New Roman"/>
                <w:bCs w:val="0"/>
                <w:sz w:val="22"/>
                <w:szCs w:val="22"/>
                <w:lang w:eastAsia="fr-FR"/>
              </w:rPr>
              <w:t>8</w:t>
            </w:r>
            <w:r w:rsidR="00C7236E">
              <w:rPr>
                <w:rFonts w:eastAsia="Times New Roman"/>
                <w:bCs w:val="0"/>
                <w:sz w:val="22"/>
                <w:szCs w:val="22"/>
                <w:lang w:eastAsia="fr-FR"/>
              </w:rPr>
              <w:t>,</w:t>
            </w:r>
            <w:r w:rsidR="00910667">
              <w:rPr>
                <w:rFonts w:eastAsia="Times New Roman"/>
                <w:bCs w:val="0"/>
                <w:sz w:val="22"/>
                <w:szCs w:val="22"/>
                <w:lang w:eastAsia="fr-FR"/>
              </w:rPr>
              <w:t>68</w:t>
            </w:r>
          </w:p>
        </w:tc>
      </w:tr>
      <w:tr w:rsidR="000D2331" w:rsidRPr="000D2331" w:rsidTr="00C63457">
        <w:trPr>
          <w:trHeight w:val="6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Soins curatifs en hospitalisation de jour</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736142" w:rsidP="000D2331">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201,42</w:t>
            </w: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25413E">
            <w:pPr>
              <w:autoSpaceDE/>
              <w:autoSpaceDN/>
              <w:adjustRightInd/>
              <w:spacing w:after="0" w:line="240" w:lineRule="auto"/>
              <w:jc w:val="center"/>
              <w:rPr>
                <w:rFonts w:eastAsia="Times New Roman"/>
                <w:bCs w:val="0"/>
                <w:lang w:eastAsia="fr-FR"/>
              </w:rPr>
            </w:pPr>
          </w:p>
        </w:tc>
      </w:tr>
      <w:tr w:rsidR="000D2331" w:rsidRPr="000D2331" w:rsidTr="00C63457">
        <w:trPr>
          <w:trHeight w:val="3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Soins curatifs ambulatoires</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7A6D61" w:rsidP="007A6D61">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 xml:space="preserve"> 205686,04</w:t>
            </w: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25413E">
            <w:pPr>
              <w:autoSpaceDE/>
              <w:autoSpaceDN/>
              <w:adjustRightInd/>
              <w:spacing w:after="0" w:line="240" w:lineRule="auto"/>
              <w:jc w:val="center"/>
              <w:rPr>
                <w:rFonts w:eastAsia="Times New Roman"/>
                <w:bCs w:val="0"/>
                <w:lang w:eastAsia="fr-FR"/>
              </w:rPr>
            </w:pPr>
          </w:p>
        </w:tc>
      </w:tr>
      <w:tr w:rsidR="000D2331" w:rsidRPr="000D2331" w:rsidTr="00C63457">
        <w:trPr>
          <w:trHeight w:val="600"/>
        </w:trPr>
        <w:tc>
          <w:tcPr>
            <w:tcW w:w="2351" w:type="dxa"/>
            <w:vMerge w:val="restart"/>
            <w:tcBorders>
              <w:top w:val="nil"/>
              <w:left w:val="single" w:sz="8" w:space="0" w:color="auto"/>
              <w:bottom w:val="single" w:sz="4" w:space="0" w:color="000000"/>
              <w:right w:val="single" w:sz="4" w:space="0" w:color="auto"/>
            </w:tcBorders>
            <w:shd w:val="clear" w:color="auto" w:fill="auto"/>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r w:rsidRPr="000D2331">
              <w:rPr>
                <w:rFonts w:eastAsia="Times New Roman"/>
                <w:b/>
                <w:color w:val="auto"/>
                <w:sz w:val="22"/>
                <w:szCs w:val="22"/>
                <w:lang w:eastAsia="fr-FR"/>
              </w:rPr>
              <w:t>Soins (de santé) de longue durée</w:t>
            </w: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Soins (de santé) de longue durée en mode ambulatoire</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EF0A0D" w:rsidP="00EF0A0D">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5378,92</w:t>
            </w:r>
          </w:p>
        </w:tc>
        <w:tc>
          <w:tcPr>
            <w:tcW w:w="17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2331" w:rsidRPr="000D2331" w:rsidRDefault="00EF0A0D" w:rsidP="00DA7829">
            <w:pPr>
              <w:autoSpaceDE/>
              <w:autoSpaceDN/>
              <w:adjustRightInd/>
              <w:spacing w:after="0" w:line="240" w:lineRule="auto"/>
              <w:jc w:val="center"/>
              <w:rPr>
                <w:rFonts w:eastAsia="Times New Roman"/>
                <w:bCs w:val="0"/>
                <w:lang w:eastAsia="fr-FR"/>
              </w:rPr>
            </w:pPr>
            <w:r>
              <w:rPr>
                <w:rFonts w:eastAsia="Times New Roman"/>
                <w:bCs w:val="0"/>
                <w:color w:val="auto"/>
                <w:sz w:val="22"/>
                <w:szCs w:val="22"/>
                <w:lang w:eastAsia="fr-FR"/>
              </w:rPr>
              <w:t>5378,92</w:t>
            </w:r>
          </w:p>
        </w:tc>
        <w:tc>
          <w:tcPr>
            <w:tcW w:w="964"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0D2331" w:rsidRPr="000D2331" w:rsidRDefault="000D2331" w:rsidP="0025413E">
            <w:pPr>
              <w:autoSpaceDE/>
              <w:autoSpaceDN/>
              <w:adjustRightInd/>
              <w:spacing w:after="0" w:line="240" w:lineRule="auto"/>
              <w:jc w:val="center"/>
              <w:rPr>
                <w:rFonts w:eastAsia="Times New Roman"/>
                <w:bCs w:val="0"/>
                <w:lang w:eastAsia="fr-FR"/>
              </w:rPr>
            </w:pPr>
            <w:r w:rsidRPr="000D2331">
              <w:rPr>
                <w:rFonts w:eastAsia="Times New Roman"/>
                <w:bCs w:val="0"/>
                <w:sz w:val="22"/>
                <w:szCs w:val="22"/>
                <w:lang w:eastAsia="fr-FR"/>
              </w:rPr>
              <w:t>1,34</w:t>
            </w:r>
          </w:p>
        </w:tc>
      </w:tr>
      <w:tr w:rsidR="000D2331" w:rsidRPr="000D2331" w:rsidTr="00C63457">
        <w:trPr>
          <w:trHeight w:val="6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Soins de longue durée non spécifiés (n.c.a.)</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0D2331" w:rsidP="000D2331">
            <w:pPr>
              <w:autoSpaceDE/>
              <w:autoSpaceDN/>
              <w:adjustRightInd/>
              <w:spacing w:after="0" w:line="240" w:lineRule="auto"/>
              <w:jc w:val="right"/>
              <w:rPr>
                <w:rFonts w:eastAsia="Times New Roman"/>
                <w:bCs w:val="0"/>
                <w:color w:val="auto"/>
                <w:lang w:eastAsia="fr-FR"/>
              </w:rPr>
            </w:pP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25413E">
            <w:pPr>
              <w:autoSpaceDE/>
              <w:autoSpaceDN/>
              <w:adjustRightInd/>
              <w:spacing w:after="0" w:line="240" w:lineRule="auto"/>
              <w:jc w:val="center"/>
              <w:rPr>
                <w:rFonts w:eastAsia="Times New Roman"/>
                <w:bCs w:val="0"/>
                <w:lang w:eastAsia="fr-FR"/>
              </w:rPr>
            </w:pPr>
          </w:p>
        </w:tc>
      </w:tr>
      <w:tr w:rsidR="000D2331" w:rsidRPr="000D2331" w:rsidTr="00C63457">
        <w:trPr>
          <w:trHeight w:val="855"/>
        </w:trPr>
        <w:tc>
          <w:tcPr>
            <w:tcW w:w="2351" w:type="dxa"/>
            <w:tcBorders>
              <w:top w:val="nil"/>
              <w:left w:val="single" w:sz="8" w:space="0" w:color="auto"/>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
                <w:color w:val="auto"/>
                <w:lang w:eastAsia="fr-FR"/>
              </w:rPr>
            </w:pPr>
            <w:r w:rsidRPr="000D2331">
              <w:rPr>
                <w:rFonts w:eastAsia="Times New Roman"/>
                <w:b/>
                <w:color w:val="auto"/>
                <w:sz w:val="22"/>
                <w:szCs w:val="22"/>
                <w:lang w:eastAsia="fr-FR"/>
              </w:rPr>
              <w:t xml:space="preserve">Services auxiliaires (non-spécifié par fonction) </w:t>
            </w: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 xml:space="preserve">Services de laboratoire d’analyses médicales </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C42066" w:rsidP="00DA7829">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1535,18</w:t>
            </w:r>
          </w:p>
        </w:tc>
        <w:tc>
          <w:tcPr>
            <w:tcW w:w="1788" w:type="dxa"/>
            <w:tcBorders>
              <w:top w:val="nil"/>
              <w:left w:val="nil"/>
              <w:bottom w:val="single" w:sz="4" w:space="0" w:color="auto"/>
              <w:right w:val="single" w:sz="4" w:space="0" w:color="auto"/>
            </w:tcBorders>
            <w:shd w:val="clear" w:color="auto" w:fill="auto"/>
            <w:noWrap/>
            <w:vAlign w:val="center"/>
            <w:hideMark/>
          </w:tcPr>
          <w:p w:rsidR="000D2331" w:rsidRPr="000D2331" w:rsidRDefault="000D2331" w:rsidP="000D2331">
            <w:pPr>
              <w:autoSpaceDE/>
              <w:autoSpaceDN/>
              <w:adjustRightInd/>
              <w:spacing w:after="0" w:line="240" w:lineRule="auto"/>
              <w:jc w:val="center"/>
              <w:rPr>
                <w:rFonts w:eastAsia="Times New Roman"/>
                <w:bCs w:val="0"/>
                <w:lang w:eastAsia="fr-FR"/>
              </w:rPr>
            </w:pPr>
            <w:r w:rsidRPr="000D2331">
              <w:rPr>
                <w:rFonts w:eastAsia="Times New Roman"/>
                <w:bCs w:val="0"/>
                <w:sz w:val="22"/>
                <w:szCs w:val="22"/>
                <w:lang w:eastAsia="fr-FR"/>
              </w:rPr>
              <w:t>1 535,18</w:t>
            </w:r>
          </w:p>
        </w:tc>
        <w:tc>
          <w:tcPr>
            <w:tcW w:w="964" w:type="dxa"/>
            <w:tcBorders>
              <w:top w:val="nil"/>
              <w:left w:val="nil"/>
              <w:bottom w:val="single" w:sz="4" w:space="0" w:color="auto"/>
              <w:right w:val="single" w:sz="8" w:space="0" w:color="auto"/>
            </w:tcBorders>
            <w:shd w:val="clear" w:color="auto" w:fill="auto"/>
            <w:noWrap/>
            <w:vAlign w:val="center"/>
            <w:hideMark/>
          </w:tcPr>
          <w:p w:rsidR="000D2331" w:rsidRPr="000D2331" w:rsidRDefault="000D2331" w:rsidP="0025413E">
            <w:pPr>
              <w:autoSpaceDE/>
              <w:autoSpaceDN/>
              <w:adjustRightInd/>
              <w:spacing w:after="0" w:line="240" w:lineRule="auto"/>
              <w:jc w:val="center"/>
              <w:rPr>
                <w:rFonts w:eastAsia="Times New Roman"/>
                <w:bCs w:val="0"/>
                <w:lang w:eastAsia="fr-FR"/>
              </w:rPr>
            </w:pPr>
            <w:r w:rsidRPr="000D2331">
              <w:rPr>
                <w:rFonts w:eastAsia="Times New Roman"/>
                <w:bCs w:val="0"/>
                <w:sz w:val="22"/>
                <w:szCs w:val="22"/>
                <w:lang w:eastAsia="fr-FR"/>
              </w:rPr>
              <w:t>0,38</w:t>
            </w:r>
          </w:p>
        </w:tc>
      </w:tr>
      <w:tr w:rsidR="000D2331" w:rsidRPr="000D2331" w:rsidTr="00C63457">
        <w:trPr>
          <w:trHeight w:val="900"/>
        </w:trPr>
        <w:tc>
          <w:tcPr>
            <w:tcW w:w="2351" w:type="dxa"/>
            <w:vMerge w:val="restart"/>
            <w:tcBorders>
              <w:top w:val="nil"/>
              <w:left w:val="single" w:sz="8" w:space="0" w:color="auto"/>
              <w:bottom w:val="single" w:sz="4" w:space="0" w:color="000000"/>
              <w:right w:val="single" w:sz="4" w:space="0" w:color="auto"/>
            </w:tcBorders>
            <w:shd w:val="clear" w:color="auto" w:fill="auto"/>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r w:rsidRPr="000D2331">
              <w:rPr>
                <w:rFonts w:eastAsia="Times New Roman"/>
                <w:b/>
                <w:color w:val="auto"/>
                <w:sz w:val="22"/>
                <w:szCs w:val="22"/>
                <w:lang w:eastAsia="fr-FR"/>
              </w:rPr>
              <w:t>Biens médicaux (non-spécifiés par fonction)</w:t>
            </w: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 xml:space="preserve">Produits pharmaceutiques et autres biens médicaux non durables </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C42066" w:rsidP="00814169">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3</w:t>
            </w:r>
            <w:r w:rsidR="00814169">
              <w:rPr>
                <w:rFonts w:eastAsia="Times New Roman"/>
                <w:bCs w:val="0"/>
                <w:color w:val="auto"/>
                <w:sz w:val="22"/>
                <w:szCs w:val="22"/>
                <w:lang w:eastAsia="fr-FR"/>
              </w:rPr>
              <w:t>0735</w:t>
            </w:r>
            <w:r>
              <w:rPr>
                <w:rFonts w:eastAsia="Times New Roman"/>
                <w:bCs w:val="0"/>
                <w:color w:val="auto"/>
                <w:sz w:val="22"/>
                <w:szCs w:val="22"/>
                <w:lang w:eastAsia="fr-FR"/>
              </w:rPr>
              <w:t>,</w:t>
            </w:r>
            <w:r w:rsidR="00814169">
              <w:rPr>
                <w:rFonts w:eastAsia="Times New Roman"/>
                <w:bCs w:val="0"/>
                <w:color w:val="auto"/>
                <w:sz w:val="22"/>
                <w:szCs w:val="22"/>
                <w:lang w:eastAsia="fr-FR"/>
              </w:rPr>
              <w:t>22</w:t>
            </w:r>
          </w:p>
        </w:tc>
        <w:tc>
          <w:tcPr>
            <w:tcW w:w="17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2331" w:rsidRPr="000D2331" w:rsidRDefault="00910667" w:rsidP="00910667">
            <w:pPr>
              <w:autoSpaceDE/>
              <w:autoSpaceDN/>
              <w:adjustRightInd/>
              <w:spacing w:after="0" w:line="240" w:lineRule="auto"/>
              <w:jc w:val="center"/>
              <w:rPr>
                <w:rFonts w:eastAsia="Times New Roman"/>
                <w:bCs w:val="0"/>
                <w:lang w:eastAsia="fr-FR"/>
              </w:rPr>
            </w:pPr>
            <w:r>
              <w:rPr>
                <w:rFonts w:eastAsia="Times New Roman"/>
                <w:bCs w:val="0"/>
                <w:sz w:val="22"/>
                <w:szCs w:val="22"/>
                <w:lang w:eastAsia="fr-FR"/>
              </w:rPr>
              <w:t>31113,58</w:t>
            </w:r>
          </w:p>
        </w:tc>
        <w:tc>
          <w:tcPr>
            <w:tcW w:w="964"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0D2331" w:rsidRPr="000D2331" w:rsidRDefault="000D2331" w:rsidP="0025413E">
            <w:pPr>
              <w:autoSpaceDE/>
              <w:autoSpaceDN/>
              <w:adjustRightInd/>
              <w:spacing w:after="0" w:line="240" w:lineRule="auto"/>
              <w:jc w:val="center"/>
              <w:rPr>
                <w:rFonts w:eastAsia="Times New Roman"/>
                <w:bCs w:val="0"/>
                <w:lang w:eastAsia="fr-FR"/>
              </w:rPr>
            </w:pPr>
            <w:r w:rsidRPr="000D2331">
              <w:rPr>
                <w:rFonts w:eastAsia="Times New Roman"/>
                <w:bCs w:val="0"/>
                <w:sz w:val="22"/>
                <w:szCs w:val="22"/>
                <w:lang w:eastAsia="fr-FR"/>
              </w:rPr>
              <w:t>7,</w:t>
            </w:r>
            <w:r w:rsidR="00910667" w:rsidRPr="000D2331">
              <w:rPr>
                <w:rFonts w:eastAsia="Times New Roman"/>
                <w:bCs w:val="0"/>
                <w:sz w:val="22"/>
                <w:szCs w:val="22"/>
                <w:lang w:eastAsia="fr-FR"/>
              </w:rPr>
              <w:t>7</w:t>
            </w:r>
            <w:r w:rsidR="00910667">
              <w:rPr>
                <w:rFonts w:eastAsia="Times New Roman"/>
                <w:bCs w:val="0"/>
                <w:sz w:val="22"/>
                <w:szCs w:val="22"/>
                <w:lang w:eastAsia="fr-FR"/>
              </w:rPr>
              <w:t>5</w:t>
            </w:r>
          </w:p>
        </w:tc>
      </w:tr>
      <w:tr w:rsidR="000D2331" w:rsidRPr="000D2331" w:rsidTr="00C63457">
        <w:trPr>
          <w:trHeight w:val="6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 xml:space="preserve">Appareils thérapeutiques et autres biens médicaux </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0D2331" w:rsidP="000D2331">
            <w:pPr>
              <w:autoSpaceDE/>
              <w:autoSpaceDN/>
              <w:adjustRightInd/>
              <w:spacing w:after="0" w:line="240" w:lineRule="auto"/>
              <w:jc w:val="right"/>
              <w:rPr>
                <w:rFonts w:eastAsia="Times New Roman"/>
                <w:bCs w:val="0"/>
                <w:color w:val="auto"/>
                <w:lang w:eastAsia="fr-FR"/>
              </w:rPr>
            </w:pPr>
            <w:r w:rsidRPr="000D2331">
              <w:rPr>
                <w:rFonts w:eastAsia="Times New Roman"/>
                <w:bCs w:val="0"/>
                <w:color w:val="auto"/>
                <w:sz w:val="22"/>
                <w:szCs w:val="22"/>
                <w:lang w:eastAsia="fr-FR"/>
              </w:rPr>
              <w:t>378,36</w:t>
            </w: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750033">
            <w:pPr>
              <w:autoSpaceDE/>
              <w:autoSpaceDN/>
              <w:adjustRightInd/>
              <w:spacing w:after="0" w:line="240" w:lineRule="auto"/>
              <w:jc w:val="center"/>
              <w:rPr>
                <w:rFonts w:eastAsia="Times New Roman"/>
                <w:bCs w:val="0"/>
                <w:lang w:eastAsia="fr-FR"/>
              </w:rPr>
            </w:pPr>
          </w:p>
        </w:tc>
      </w:tr>
      <w:tr w:rsidR="000D2331" w:rsidRPr="000D2331" w:rsidTr="00C63457">
        <w:trPr>
          <w:trHeight w:val="6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Biens médicaux non spécifiés (n.c.a.)</w:t>
            </w:r>
          </w:p>
        </w:tc>
        <w:tc>
          <w:tcPr>
            <w:tcW w:w="1569" w:type="dxa"/>
            <w:tcBorders>
              <w:top w:val="nil"/>
              <w:left w:val="nil"/>
              <w:bottom w:val="single" w:sz="4" w:space="0" w:color="auto"/>
              <w:right w:val="single" w:sz="4" w:space="0" w:color="auto"/>
            </w:tcBorders>
            <w:shd w:val="clear" w:color="auto" w:fill="auto"/>
            <w:noWrap/>
            <w:vAlign w:val="center"/>
            <w:hideMark/>
          </w:tcPr>
          <w:p w:rsidR="00910667" w:rsidRDefault="00910667" w:rsidP="00814169">
            <w:pPr>
              <w:autoSpaceDE/>
              <w:autoSpaceDN/>
              <w:adjustRightInd/>
              <w:spacing w:after="0" w:line="240" w:lineRule="auto"/>
              <w:jc w:val="right"/>
              <w:rPr>
                <w:rFonts w:eastAsia="Times New Roman"/>
                <w:bCs w:val="0"/>
                <w:color w:val="auto"/>
                <w:lang w:eastAsia="fr-FR"/>
              </w:rPr>
            </w:pPr>
          </w:p>
          <w:p w:rsidR="000D2331" w:rsidRPr="000D2331" w:rsidRDefault="00910667" w:rsidP="00814169">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0</w:t>
            </w: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750033">
            <w:pPr>
              <w:autoSpaceDE/>
              <w:autoSpaceDN/>
              <w:adjustRightInd/>
              <w:spacing w:after="0" w:line="240" w:lineRule="auto"/>
              <w:jc w:val="center"/>
              <w:rPr>
                <w:rFonts w:eastAsia="Times New Roman"/>
                <w:bCs w:val="0"/>
                <w:lang w:eastAsia="fr-FR"/>
              </w:rPr>
            </w:pPr>
          </w:p>
        </w:tc>
      </w:tr>
      <w:tr w:rsidR="000D2331" w:rsidRPr="000D2331" w:rsidTr="00C63457">
        <w:trPr>
          <w:trHeight w:val="900"/>
        </w:trPr>
        <w:tc>
          <w:tcPr>
            <w:tcW w:w="2351" w:type="dxa"/>
            <w:vMerge w:val="restart"/>
            <w:tcBorders>
              <w:top w:val="nil"/>
              <w:left w:val="single" w:sz="8" w:space="0" w:color="auto"/>
              <w:bottom w:val="single" w:sz="4" w:space="0" w:color="000000"/>
              <w:right w:val="single" w:sz="4" w:space="0" w:color="auto"/>
            </w:tcBorders>
            <w:shd w:val="clear" w:color="auto" w:fill="auto"/>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r w:rsidRPr="000D2331">
              <w:rPr>
                <w:rFonts w:eastAsia="Times New Roman"/>
                <w:b/>
                <w:color w:val="auto"/>
                <w:sz w:val="22"/>
                <w:szCs w:val="22"/>
                <w:lang w:eastAsia="fr-FR"/>
              </w:rPr>
              <w:t>Soins préventifs</w:t>
            </w: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Programmes d’information, d’éducation et de conseil (IEC)</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7A6D61" w:rsidP="000D2331">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12813,64</w:t>
            </w:r>
          </w:p>
        </w:tc>
        <w:tc>
          <w:tcPr>
            <w:tcW w:w="17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2331" w:rsidRPr="00AC269B" w:rsidRDefault="00DD1BD6" w:rsidP="000D2331">
            <w:pPr>
              <w:autoSpaceDE/>
              <w:autoSpaceDN/>
              <w:adjustRightInd/>
              <w:spacing w:after="0" w:line="240" w:lineRule="auto"/>
              <w:jc w:val="center"/>
              <w:rPr>
                <w:rFonts w:eastAsia="Times New Roman"/>
                <w:bCs w:val="0"/>
                <w:lang w:eastAsia="fr-FR"/>
              </w:rPr>
            </w:pPr>
            <w:r w:rsidRPr="00AC269B">
              <w:rPr>
                <w:rFonts w:eastAsia="Times New Roman"/>
                <w:bCs w:val="0"/>
                <w:sz w:val="22"/>
                <w:szCs w:val="22"/>
                <w:lang w:eastAsia="fr-FR"/>
              </w:rPr>
              <w:t>102736,77</w:t>
            </w:r>
          </w:p>
        </w:tc>
        <w:tc>
          <w:tcPr>
            <w:tcW w:w="964"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0D2331" w:rsidRPr="00AC269B" w:rsidRDefault="00DD1BD6" w:rsidP="00C63457">
            <w:pPr>
              <w:autoSpaceDE/>
              <w:autoSpaceDN/>
              <w:adjustRightInd/>
              <w:spacing w:after="0" w:line="240" w:lineRule="auto"/>
              <w:jc w:val="center"/>
              <w:rPr>
                <w:rFonts w:eastAsia="Times New Roman"/>
                <w:bCs w:val="0"/>
                <w:lang w:eastAsia="fr-FR"/>
              </w:rPr>
            </w:pPr>
            <w:r w:rsidRPr="00AC269B">
              <w:rPr>
                <w:rFonts w:eastAsia="Times New Roman"/>
                <w:bCs w:val="0"/>
                <w:sz w:val="22"/>
                <w:szCs w:val="22"/>
                <w:lang w:eastAsia="fr-FR"/>
              </w:rPr>
              <w:t>25,60</w:t>
            </w:r>
          </w:p>
        </w:tc>
      </w:tr>
      <w:tr w:rsidR="000D2331" w:rsidRPr="000D2331" w:rsidTr="00C63457">
        <w:trPr>
          <w:trHeight w:val="6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Programmes de vaccination</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540C63" w:rsidP="008A2A50">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19</w:t>
            </w:r>
            <w:r w:rsidR="008A2A50">
              <w:rPr>
                <w:rFonts w:eastAsia="Times New Roman"/>
                <w:bCs w:val="0"/>
                <w:color w:val="auto"/>
                <w:sz w:val="22"/>
                <w:szCs w:val="22"/>
                <w:lang w:eastAsia="fr-FR"/>
              </w:rPr>
              <w:t>2</w:t>
            </w:r>
            <w:r>
              <w:rPr>
                <w:rFonts w:eastAsia="Times New Roman"/>
                <w:bCs w:val="0"/>
                <w:color w:val="auto"/>
                <w:sz w:val="22"/>
                <w:szCs w:val="22"/>
                <w:lang w:eastAsia="fr-FR"/>
              </w:rPr>
              <w:t>76</w:t>
            </w:r>
            <w:r w:rsidR="007A6D61">
              <w:rPr>
                <w:rFonts w:eastAsia="Times New Roman"/>
                <w:bCs w:val="0"/>
                <w:color w:val="auto"/>
                <w:sz w:val="22"/>
                <w:szCs w:val="22"/>
                <w:lang w:eastAsia="fr-FR"/>
              </w:rPr>
              <w:t>,</w:t>
            </w:r>
            <w:r>
              <w:rPr>
                <w:rFonts w:eastAsia="Times New Roman"/>
                <w:bCs w:val="0"/>
                <w:color w:val="auto"/>
                <w:sz w:val="22"/>
                <w:szCs w:val="22"/>
                <w:lang w:eastAsia="fr-FR"/>
              </w:rPr>
              <w:t>8</w:t>
            </w:r>
            <w:r w:rsidR="007A6D61">
              <w:rPr>
                <w:rFonts w:eastAsia="Times New Roman"/>
                <w:bCs w:val="0"/>
                <w:color w:val="auto"/>
                <w:sz w:val="22"/>
                <w:szCs w:val="22"/>
                <w:lang w:eastAsia="fr-FR"/>
              </w:rPr>
              <w:t>9</w:t>
            </w: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750033">
            <w:pPr>
              <w:autoSpaceDE/>
              <w:autoSpaceDN/>
              <w:adjustRightInd/>
              <w:spacing w:after="0" w:line="240" w:lineRule="auto"/>
              <w:jc w:val="center"/>
              <w:rPr>
                <w:rFonts w:eastAsia="Times New Roman"/>
                <w:bCs w:val="0"/>
                <w:lang w:eastAsia="fr-FR"/>
              </w:rPr>
            </w:pPr>
          </w:p>
        </w:tc>
      </w:tr>
      <w:tr w:rsidR="000D2331" w:rsidRPr="000D2331" w:rsidTr="00C63457">
        <w:trPr>
          <w:trHeight w:val="6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Programmes de détection précoce de maladie</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8A2A50" w:rsidP="008A2A50">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534</w:t>
            </w:r>
            <w:r w:rsidR="007A6D61">
              <w:rPr>
                <w:rFonts w:eastAsia="Times New Roman"/>
                <w:bCs w:val="0"/>
                <w:color w:val="auto"/>
                <w:sz w:val="22"/>
                <w:szCs w:val="22"/>
                <w:lang w:eastAsia="fr-FR"/>
              </w:rPr>
              <w:t>,6</w:t>
            </w:r>
            <w:r>
              <w:rPr>
                <w:rFonts w:eastAsia="Times New Roman"/>
                <w:bCs w:val="0"/>
                <w:color w:val="auto"/>
                <w:sz w:val="22"/>
                <w:szCs w:val="22"/>
                <w:lang w:eastAsia="fr-FR"/>
              </w:rPr>
              <w:t>3</w:t>
            </w: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750033">
            <w:pPr>
              <w:autoSpaceDE/>
              <w:autoSpaceDN/>
              <w:adjustRightInd/>
              <w:spacing w:after="0" w:line="240" w:lineRule="auto"/>
              <w:jc w:val="center"/>
              <w:rPr>
                <w:rFonts w:eastAsia="Times New Roman"/>
                <w:bCs w:val="0"/>
                <w:lang w:eastAsia="fr-FR"/>
              </w:rPr>
            </w:pPr>
          </w:p>
        </w:tc>
      </w:tr>
      <w:tr w:rsidR="000D2331" w:rsidRPr="000D2331" w:rsidTr="00C63457">
        <w:trPr>
          <w:trHeight w:val="6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Programme de suivi de l’état de santé</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7A6D61" w:rsidP="000D2331">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5050,86</w:t>
            </w: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750033">
            <w:pPr>
              <w:autoSpaceDE/>
              <w:autoSpaceDN/>
              <w:adjustRightInd/>
              <w:spacing w:after="0" w:line="240" w:lineRule="auto"/>
              <w:jc w:val="center"/>
              <w:rPr>
                <w:rFonts w:eastAsia="Times New Roman"/>
                <w:bCs w:val="0"/>
                <w:lang w:eastAsia="fr-FR"/>
              </w:rPr>
            </w:pPr>
          </w:p>
        </w:tc>
      </w:tr>
      <w:tr w:rsidR="000D2331" w:rsidRPr="000D2331" w:rsidTr="00C63457">
        <w:trPr>
          <w:trHeight w:val="12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 xml:space="preserve">Surveillance épidémiologique et programmes de lutte contre le risque et la maladie </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7A6D61" w:rsidP="000D2331">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64733,18</w:t>
            </w: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750033">
            <w:pPr>
              <w:autoSpaceDE/>
              <w:autoSpaceDN/>
              <w:adjustRightInd/>
              <w:spacing w:after="0" w:line="240" w:lineRule="auto"/>
              <w:jc w:val="center"/>
              <w:rPr>
                <w:rFonts w:eastAsia="Times New Roman"/>
                <w:bCs w:val="0"/>
                <w:lang w:eastAsia="fr-FR"/>
              </w:rPr>
            </w:pPr>
          </w:p>
        </w:tc>
      </w:tr>
      <w:tr w:rsidR="000D2331" w:rsidRPr="000D2331" w:rsidTr="00C63457">
        <w:trPr>
          <w:trHeight w:val="6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Soins préventifs non spécifiés (n.c.a.)</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B90AC1" w:rsidP="000D2331">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327,57</w:t>
            </w: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750033">
            <w:pPr>
              <w:autoSpaceDE/>
              <w:autoSpaceDN/>
              <w:adjustRightInd/>
              <w:spacing w:after="0" w:line="240" w:lineRule="auto"/>
              <w:jc w:val="center"/>
              <w:rPr>
                <w:rFonts w:eastAsia="Times New Roman"/>
                <w:bCs w:val="0"/>
                <w:lang w:eastAsia="fr-FR"/>
              </w:rPr>
            </w:pPr>
          </w:p>
        </w:tc>
      </w:tr>
      <w:tr w:rsidR="000D2331" w:rsidRPr="000D2331" w:rsidTr="00C63457">
        <w:trPr>
          <w:trHeight w:val="900"/>
        </w:trPr>
        <w:tc>
          <w:tcPr>
            <w:tcW w:w="2351" w:type="dxa"/>
            <w:vMerge w:val="restart"/>
            <w:tcBorders>
              <w:top w:val="nil"/>
              <w:left w:val="single" w:sz="8" w:space="0" w:color="auto"/>
              <w:bottom w:val="single" w:sz="4" w:space="0" w:color="000000"/>
              <w:right w:val="single" w:sz="4" w:space="0" w:color="auto"/>
            </w:tcBorders>
            <w:shd w:val="clear" w:color="auto" w:fill="auto"/>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r w:rsidRPr="000D2331">
              <w:rPr>
                <w:rFonts w:eastAsia="Times New Roman"/>
                <w:b/>
                <w:color w:val="auto"/>
                <w:sz w:val="22"/>
                <w:szCs w:val="22"/>
                <w:lang w:eastAsia="fr-FR"/>
              </w:rPr>
              <w:t xml:space="preserve">Gouvernance, administration du système de santé et des financements </w:t>
            </w: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Gouvernance et administration du système de santé</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B90AC1" w:rsidP="000D2331">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19954,87</w:t>
            </w:r>
          </w:p>
        </w:tc>
        <w:tc>
          <w:tcPr>
            <w:tcW w:w="17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3465" w:rsidRDefault="00423465" w:rsidP="000D2331">
            <w:pPr>
              <w:autoSpaceDE/>
              <w:autoSpaceDN/>
              <w:adjustRightInd/>
              <w:spacing w:after="0" w:line="240" w:lineRule="auto"/>
              <w:jc w:val="center"/>
              <w:rPr>
                <w:rFonts w:eastAsia="Times New Roman"/>
                <w:bCs w:val="0"/>
                <w:lang w:eastAsia="fr-FR"/>
              </w:rPr>
            </w:pPr>
          </w:p>
          <w:p w:rsidR="000D2331" w:rsidRPr="000D2331" w:rsidRDefault="00B90AC1" w:rsidP="000D2331">
            <w:pPr>
              <w:autoSpaceDE/>
              <w:autoSpaceDN/>
              <w:adjustRightInd/>
              <w:spacing w:after="0" w:line="240" w:lineRule="auto"/>
              <w:jc w:val="center"/>
              <w:rPr>
                <w:rFonts w:eastAsia="Times New Roman"/>
                <w:bCs w:val="0"/>
                <w:lang w:eastAsia="fr-FR"/>
              </w:rPr>
            </w:pPr>
            <w:r>
              <w:rPr>
                <w:rFonts w:eastAsia="Times New Roman"/>
                <w:bCs w:val="0"/>
                <w:sz w:val="22"/>
                <w:szCs w:val="22"/>
                <w:lang w:eastAsia="fr-FR"/>
              </w:rPr>
              <w:t>25054,97</w:t>
            </w:r>
          </w:p>
        </w:tc>
        <w:tc>
          <w:tcPr>
            <w:tcW w:w="964"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0D2331" w:rsidRPr="000D2331" w:rsidRDefault="00910667" w:rsidP="00C63457">
            <w:pPr>
              <w:autoSpaceDE/>
              <w:autoSpaceDN/>
              <w:adjustRightInd/>
              <w:spacing w:after="0" w:line="240" w:lineRule="auto"/>
              <w:jc w:val="center"/>
              <w:rPr>
                <w:rFonts w:eastAsia="Times New Roman"/>
                <w:bCs w:val="0"/>
                <w:lang w:eastAsia="fr-FR"/>
              </w:rPr>
            </w:pPr>
            <w:r>
              <w:rPr>
                <w:rFonts w:eastAsia="Times New Roman"/>
                <w:bCs w:val="0"/>
                <w:sz w:val="22"/>
                <w:szCs w:val="22"/>
                <w:lang w:eastAsia="fr-FR"/>
              </w:rPr>
              <w:t>6</w:t>
            </w:r>
            <w:r w:rsidR="000D2331" w:rsidRPr="000D2331">
              <w:rPr>
                <w:rFonts w:eastAsia="Times New Roman"/>
                <w:bCs w:val="0"/>
                <w:sz w:val="22"/>
                <w:szCs w:val="22"/>
                <w:lang w:eastAsia="fr-FR"/>
              </w:rPr>
              <w:t>,</w:t>
            </w:r>
            <w:r>
              <w:rPr>
                <w:rFonts w:eastAsia="Times New Roman"/>
                <w:bCs w:val="0"/>
                <w:sz w:val="22"/>
                <w:szCs w:val="22"/>
                <w:lang w:eastAsia="fr-FR"/>
              </w:rPr>
              <w:t>2</w:t>
            </w:r>
            <w:r w:rsidR="007653F3">
              <w:rPr>
                <w:rFonts w:eastAsia="Times New Roman"/>
                <w:bCs w:val="0"/>
                <w:sz w:val="22"/>
                <w:szCs w:val="22"/>
                <w:lang w:eastAsia="fr-FR"/>
              </w:rPr>
              <w:t>4</w:t>
            </w:r>
          </w:p>
        </w:tc>
      </w:tr>
      <w:tr w:rsidR="000D2331" w:rsidRPr="000D2331" w:rsidTr="00C63457">
        <w:trPr>
          <w:trHeight w:val="600"/>
        </w:trPr>
        <w:tc>
          <w:tcPr>
            <w:tcW w:w="2351" w:type="dxa"/>
            <w:vMerge/>
            <w:tcBorders>
              <w:top w:val="nil"/>
              <w:left w:val="single" w:sz="8"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
                <w:color w:val="auto"/>
                <w:lang w:eastAsia="fr-FR"/>
              </w:rPr>
            </w:pPr>
          </w:p>
        </w:tc>
        <w:tc>
          <w:tcPr>
            <w:tcW w:w="2812" w:type="dxa"/>
            <w:tcBorders>
              <w:top w:val="nil"/>
              <w:left w:val="nil"/>
              <w:bottom w:val="single" w:sz="4" w:space="0" w:color="auto"/>
              <w:right w:val="single" w:sz="4" w:space="0" w:color="auto"/>
            </w:tcBorders>
            <w:shd w:val="clear" w:color="auto" w:fill="auto"/>
            <w:hideMark/>
          </w:tcPr>
          <w:p w:rsidR="000D2331" w:rsidRPr="000D2331" w:rsidRDefault="000D2331" w:rsidP="000D2331">
            <w:pPr>
              <w:autoSpaceDE/>
              <w:autoSpaceDN/>
              <w:adjustRightInd/>
              <w:spacing w:after="0" w:line="240" w:lineRule="auto"/>
              <w:jc w:val="left"/>
              <w:rPr>
                <w:rFonts w:eastAsia="Times New Roman"/>
                <w:bCs w:val="0"/>
                <w:color w:val="auto"/>
                <w:lang w:eastAsia="fr-FR"/>
              </w:rPr>
            </w:pPr>
            <w:r w:rsidRPr="000D2331">
              <w:rPr>
                <w:rFonts w:eastAsia="Times New Roman"/>
                <w:bCs w:val="0"/>
                <w:color w:val="auto"/>
                <w:sz w:val="22"/>
                <w:szCs w:val="22"/>
                <w:lang w:eastAsia="fr-FR"/>
              </w:rPr>
              <w:t xml:space="preserve">Administration du financement de la santé </w:t>
            </w:r>
          </w:p>
        </w:tc>
        <w:tc>
          <w:tcPr>
            <w:tcW w:w="1569" w:type="dxa"/>
            <w:tcBorders>
              <w:top w:val="nil"/>
              <w:left w:val="nil"/>
              <w:bottom w:val="single" w:sz="4" w:space="0" w:color="auto"/>
              <w:right w:val="single" w:sz="4" w:space="0" w:color="auto"/>
            </w:tcBorders>
            <w:shd w:val="clear" w:color="auto" w:fill="auto"/>
            <w:noWrap/>
            <w:vAlign w:val="center"/>
            <w:hideMark/>
          </w:tcPr>
          <w:p w:rsidR="000D2331" w:rsidRPr="000D2331" w:rsidRDefault="00B90AC1" w:rsidP="000D2331">
            <w:pPr>
              <w:autoSpaceDE/>
              <w:autoSpaceDN/>
              <w:adjustRightInd/>
              <w:spacing w:after="0" w:line="240" w:lineRule="auto"/>
              <w:jc w:val="right"/>
              <w:rPr>
                <w:rFonts w:eastAsia="Times New Roman"/>
                <w:bCs w:val="0"/>
                <w:color w:val="auto"/>
                <w:lang w:eastAsia="fr-FR"/>
              </w:rPr>
            </w:pPr>
            <w:r>
              <w:rPr>
                <w:rFonts w:eastAsia="Times New Roman"/>
                <w:bCs w:val="0"/>
                <w:color w:val="auto"/>
                <w:sz w:val="22"/>
                <w:szCs w:val="22"/>
                <w:lang w:eastAsia="fr-FR"/>
              </w:rPr>
              <w:t>5100,10</w:t>
            </w:r>
          </w:p>
        </w:tc>
        <w:tc>
          <w:tcPr>
            <w:tcW w:w="1788" w:type="dxa"/>
            <w:vMerge/>
            <w:tcBorders>
              <w:top w:val="nil"/>
              <w:left w:val="single" w:sz="4" w:space="0" w:color="auto"/>
              <w:bottom w:val="single" w:sz="4" w:space="0" w:color="000000"/>
              <w:right w:val="single" w:sz="4"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c>
          <w:tcPr>
            <w:tcW w:w="964" w:type="dxa"/>
            <w:vMerge/>
            <w:tcBorders>
              <w:top w:val="nil"/>
              <w:left w:val="single" w:sz="4" w:space="0" w:color="auto"/>
              <w:bottom w:val="single" w:sz="4" w:space="0" w:color="000000"/>
              <w:right w:val="single" w:sz="8" w:space="0" w:color="auto"/>
            </w:tcBorders>
            <w:vAlign w:val="center"/>
            <w:hideMark/>
          </w:tcPr>
          <w:p w:rsidR="000D2331" w:rsidRPr="000D2331" w:rsidRDefault="000D2331" w:rsidP="000D2331">
            <w:pPr>
              <w:autoSpaceDE/>
              <w:autoSpaceDN/>
              <w:adjustRightInd/>
              <w:spacing w:after="0" w:line="240" w:lineRule="auto"/>
              <w:jc w:val="left"/>
              <w:rPr>
                <w:rFonts w:eastAsia="Times New Roman"/>
                <w:bCs w:val="0"/>
                <w:lang w:eastAsia="fr-FR"/>
              </w:rPr>
            </w:pPr>
          </w:p>
        </w:tc>
      </w:tr>
      <w:tr w:rsidR="000D2331" w:rsidRPr="000D2331" w:rsidTr="00C63457">
        <w:trPr>
          <w:trHeight w:val="315"/>
        </w:trPr>
        <w:tc>
          <w:tcPr>
            <w:tcW w:w="2351" w:type="dxa"/>
            <w:tcBorders>
              <w:top w:val="nil"/>
              <w:left w:val="single" w:sz="8" w:space="0" w:color="auto"/>
              <w:bottom w:val="single" w:sz="8" w:space="0" w:color="auto"/>
              <w:right w:val="single" w:sz="4" w:space="0" w:color="auto"/>
            </w:tcBorders>
            <w:shd w:val="clear" w:color="auto" w:fill="auto"/>
            <w:noWrap/>
            <w:hideMark/>
          </w:tcPr>
          <w:p w:rsidR="000D2331" w:rsidRPr="000D2331" w:rsidRDefault="000D2331" w:rsidP="000D2331">
            <w:pPr>
              <w:autoSpaceDE/>
              <w:autoSpaceDN/>
              <w:adjustRightInd/>
              <w:spacing w:after="0" w:line="240" w:lineRule="auto"/>
              <w:jc w:val="left"/>
              <w:rPr>
                <w:rFonts w:eastAsia="Times New Roman"/>
                <w:b/>
                <w:color w:val="auto"/>
                <w:lang w:eastAsia="fr-FR"/>
              </w:rPr>
            </w:pPr>
            <w:r w:rsidRPr="000D2331">
              <w:rPr>
                <w:rFonts w:eastAsia="Times New Roman"/>
                <w:b/>
                <w:color w:val="auto"/>
                <w:sz w:val="22"/>
                <w:szCs w:val="22"/>
                <w:lang w:eastAsia="fr-FR"/>
              </w:rPr>
              <w:t>Total</w:t>
            </w:r>
          </w:p>
        </w:tc>
        <w:tc>
          <w:tcPr>
            <w:tcW w:w="2812" w:type="dxa"/>
            <w:tcBorders>
              <w:top w:val="nil"/>
              <w:left w:val="nil"/>
              <w:bottom w:val="single" w:sz="8" w:space="0" w:color="auto"/>
              <w:right w:val="single" w:sz="4" w:space="0" w:color="auto"/>
            </w:tcBorders>
            <w:shd w:val="clear" w:color="auto" w:fill="auto"/>
            <w:noWrap/>
            <w:hideMark/>
          </w:tcPr>
          <w:p w:rsidR="000D2331" w:rsidRPr="000D2331" w:rsidRDefault="000D2331" w:rsidP="000D2331">
            <w:pPr>
              <w:autoSpaceDE/>
              <w:autoSpaceDN/>
              <w:adjustRightInd/>
              <w:spacing w:after="0" w:line="240" w:lineRule="auto"/>
              <w:jc w:val="left"/>
              <w:rPr>
                <w:rFonts w:eastAsia="Times New Roman"/>
                <w:b/>
                <w:color w:val="auto"/>
                <w:lang w:eastAsia="fr-FR"/>
              </w:rPr>
            </w:pPr>
            <w:r w:rsidRPr="000D2331">
              <w:rPr>
                <w:rFonts w:eastAsia="Times New Roman"/>
                <w:b/>
                <w:color w:val="auto"/>
                <w:sz w:val="22"/>
                <w:szCs w:val="22"/>
                <w:lang w:eastAsia="fr-FR"/>
              </w:rPr>
              <w:t> </w:t>
            </w:r>
          </w:p>
        </w:tc>
        <w:tc>
          <w:tcPr>
            <w:tcW w:w="1569" w:type="dxa"/>
            <w:tcBorders>
              <w:top w:val="nil"/>
              <w:left w:val="nil"/>
              <w:bottom w:val="single" w:sz="8" w:space="0" w:color="auto"/>
              <w:right w:val="single" w:sz="4" w:space="0" w:color="auto"/>
            </w:tcBorders>
            <w:shd w:val="clear" w:color="auto" w:fill="auto"/>
            <w:noWrap/>
            <w:vAlign w:val="center"/>
            <w:hideMark/>
          </w:tcPr>
          <w:p w:rsidR="000D2331" w:rsidRPr="005775E9" w:rsidRDefault="000D2331" w:rsidP="00910667">
            <w:pPr>
              <w:autoSpaceDE/>
              <w:autoSpaceDN/>
              <w:adjustRightInd/>
              <w:spacing w:after="0" w:line="240" w:lineRule="auto"/>
              <w:jc w:val="right"/>
              <w:rPr>
                <w:rFonts w:eastAsia="Times New Roman"/>
                <w:b/>
                <w:bCs w:val="0"/>
                <w:color w:val="auto"/>
                <w:lang w:eastAsia="fr-FR"/>
              </w:rPr>
            </w:pPr>
            <w:r w:rsidRPr="005775E9">
              <w:rPr>
                <w:rFonts w:eastAsia="Times New Roman"/>
                <w:b/>
                <w:bCs w:val="0"/>
                <w:color w:val="auto"/>
                <w:sz w:val="22"/>
                <w:szCs w:val="22"/>
                <w:lang w:eastAsia="fr-FR"/>
              </w:rPr>
              <w:t xml:space="preserve">401 </w:t>
            </w:r>
            <w:r w:rsidR="00910667" w:rsidRPr="005775E9">
              <w:rPr>
                <w:rFonts w:eastAsia="Times New Roman"/>
                <w:b/>
                <w:bCs w:val="0"/>
                <w:color w:val="auto"/>
                <w:sz w:val="22"/>
                <w:szCs w:val="22"/>
                <w:lang w:eastAsia="fr-FR"/>
              </w:rPr>
              <w:t>310</w:t>
            </w:r>
            <w:r w:rsidRPr="005775E9">
              <w:rPr>
                <w:rFonts w:eastAsia="Times New Roman"/>
                <w:b/>
                <w:bCs w:val="0"/>
                <w:color w:val="auto"/>
                <w:sz w:val="22"/>
                <w:szCs w:val="22"/>
                <w:lang w:eastAsia="fr-FR"/>
              </w:rPr>
              <w:t>,</w:t>
            </w:r>
            <w:r w:rsidR="00910667" w:rsidRPr="005775E9">
              <w:rPr>
                <w:rFonts w:eastAsia="Times New Roman"/>
                <w:b/>
                <w:bCs w:val="0"/>
                <w:color w:val="auto"/>
                <w:sz w:val="22"/>
                <w:szCs w:val="22"/>
                <w:lang w:eastAsia="fr-FR"/>
              </w:rPr>
              <w:t>38</w:t>
            </w:r>
          </w:p>
        </w:tc>
        <w:tc>
          <w:tcPr>
            <w:tcW w:w="1788" w:type="dxa"/>
            <w:tcBorders>
              <w:top w:val="nil"/>
              <w:left w:val="nil"/>
              <w:bottom w:val="single" w:sz="8" w:space="0" w:color="auto"/>
              <w:right w:val="single" w:sz="4" w:space="0" w:color="auto"/>
            </w:tcBorders>
            <w:shd w:val="clear" w:color="auto" w:fill="auto"/>
            <w:noWrap/>
            <w:vAlign w:val="center"/>
            <w:hideMark/>
          </w:tcPr>
          <w:p w:rsidR="000D2331" w:rsidRPr="005775E9" w:rsidRDefault="000D2331" w:rsidP="00910667">
            <w:pPr>
              <w:autoSpaceDE/>
              <w:autoSpaceDN/>
              <w:adjustRightInd/>
              <w:spacing w:after="0" w:line="240" w:lineRule="auto"/>
              <w:jc w:val="center"/>
              <w:rPr>
                <w:rFonts w:eastAsia="Times New Roman"/>
                <w:b/>
                <w:bCs w:val="0"/>
                <w:lang w:eastAsia="fr-FR"/>
              </w:rPr>
            </w:pPr>
            <w:r w:rsidRPr="005775E9">
              <w:rPr>
                <w:rFonts w:eastAsia="Times New Roman"/>
                <w:b/>
                <w:bCs w:val="0"/>
                <w:sz w:val="22"/>
                <w:szCs w:val="22"/>
                <w:lang w:eastAsia="fr-FR"/>
              </w:rPr>
              <w:t xml:space="preserve">401 </w:t>
            </w:r>
            <w:r w:rsidR="00910667" w:rsidRPr="005775E9">
              <w:rPr>
                <w:rFonts w:eastAsia="Times New Roman"/>
                <w:b/>
                <w:bCs w:val="0"/>
                <w:sz w:val="22"/>
                <w:szCs w:val="22"/>
                <w:lang w:eastAsia="fr-FR"/>
              </w:rPr>
              <w:t>310</w:t>
            </w:r>
            <w:r w:rsidRPr="005775E9">
              <w:rPr>
                <w:rFonts w:eastAsia="Times New Roman"/>
                <w:b/>
                <w:bCs w:val="0"/>
                <w:sz w:val="22"/>
                <w:szCs w:val="22"/>
                <w:lang w:eastAsia="fr-FR"/>
              </w:rPr>
              <w:t>,</w:t>
            </w:r>
            <w:r w:rsidR="00910667" w:rsidRPr="005775E9">
              <w:rPr>
                <w:rFonts w:eastAsia="Times New Roman"/>
                <w:b/>
                <w:bCs w:val="0"/>
                <w:sz w:val="22"/>
                <w:szCs w:val="22"/>
                <w:lang w:eastAsia="fr-FR"/>
              </w:rPr>
              <w:t>38</w:t>
            </w:r>
          </w:p>
        </w:tc>
        <w:tc>
          <w:tcPr>
            <w:tcW w:w="964" w:type="dxa"/>
            <w:tcBorders>
              <w:top w:val="nil"/>
              <w:left w:val="nil"/>
              <w:bottom w:val="single" w:sz="8" w:space="0" w:color="auto"/>
              <w:right w:val="single" w:sz="8" w:space="0" w:color="auto"/>
            </w:tcBorders>
            <w:shd w:val="clear" w:color="auto" w:fill="auto"/>
            <w:noWrap/>
            <w:vAlign w:val="center"/>
            <w:hideMark/>
          </w:tcPr>
          <w:p w:rsidR="000D2331" w:rsidRPr="005775E9" w:rsidRDefault="000D2331" w:rsidP="000D2331">
            <w:pPr>
              <w:autoSpaceDE/>
              <w:autoSpaceDN/>
              <w:adjustRightInd/>
              <w:spacing w:after="0" w:line="240" w:lineRule="auto"/>
              <w:jc w:val="right"/>
              <w:rPr>
                <w:rFonts w:eastAsia="Times New Roman"/>
                <w:b/>
                <w:bCs w:val="0"/>
                <w:lang w:eastAsia="fr-FR"/>
              </w:rPr>
            </w:pPr>
            <w:r w:rsidRPr="005775E9">
              <w:rPr>
                <w:rFonts w:eastAsia="Times New Roman"/>
                <w:b/>
                <w:bCs w:val="0"/>
                <w:sz w:val="22"/>
                <w:szCs w:val="22"/>
                <w:lang w:eastAsia="fr-FR"/>
              </w:rPr>
              <w:t>100</w:t>
            </w:r>
          </w:p>
        </w:tc>
      </w:tr>
    </w:tbl>
    <w:p w:rsidR="00CE5F6E" w:rsidRDefault="00E36B0E" w:rsidP="00452F67">
      <w:pPr>
        <w:spacing w:before="240"/>
        <w:rPr>
          <w:lang w:eastAsia="en-US"/>
        </w:rPr>
      </w:pPr>
      <w:r w:rsidRPr="0044670F">
        <w:rPr>
          <w:lang w:eastAsia="en-US"/>
        </w:rPr>
        <w:t>En 201</w:t>
      </w:r>
      <w:r w:rsidR="00727411">
        <w:rPr>
          <w:lang w:eastAsia="en-US"/>
        </w:rPr>
        <w:t>4</w:t>
      </w:r>
      <w:r w:rsidRPr="0044670F">
        <w:rPr>
          <w:lang w:eastAsia="en-US"/>
        </w:rPr>
        <w:t xml:space="preserve">, parmi les dépenses de fonctions sanitaires produites, ce sont celles des soins curatifs qui ont été les plus importantes avec </w:t>
      </w:r>
      <w:r w:rsidR="00EC143E">
        <w:rPr>
          <w:lang w:eastAsia="en-US"/>
        </w:rPr>
        <w:t>58,68</w:t>
      </w:r>
      <w:r w:rsidRPr="0044670F">
        <w:rPr>
          <w:lang w:eastAsia="en-US"/>
        </w:rPr>
        <w:t xml:space="preserve"> % de l’ensemble des dépenses</w:t>
      </w:r>
      <w:r w:rsidR="009721AB">
        <w:rPr>
          <w:lang w:eastAsia="en-US"/>
        </w:rPr>
        <w:t xml:space="preserve">. </w:t>
      </w:r>
      <w:r w:rsidR="009962FE" w:rsidRPr="0044670F">
        <w:rPr>
          <w:lang w:eastAsia="en-US"/>
        </w:rPr>
        <w:t>C</w:t>
      </w:r>
      <w:r w:rsidRPr="0044670F">
        <w:rPr>
          <w:lang w:eastAsia="en-US"/>
        </w:rPr>
        <w:t xml:space="preserve">omme le montre le tableau </w:t>
      </w:r>
      <w:r w:rsidR="00D26E48">
        <w:rPr>
          <w:lang w:eastAsia="en-US"/>
        </w:rPr>
        <w:t>3.1.7</w:t>
      </w:r>
      <w:r w:rsidRPr="0044670F">
        <w:rPr>
          <w:lang w:eastAsia="en-US"/>
        </w:rPr>
        <w:t xml:space="preserve">. Ensuite viennent les dépenses de soins préventifs avec </w:t>
      </w:r>
      <w:r w:rsidR="00D26E48">
        <w:rPr>
          <w:lang w:eastAsia="en-US"/>
        </w:rPr>
        <w:t>2</w:t>
      </w:r>
      <w:r w:rsidR="00DA5555">
        <w:rPr>
          <w:lang w:eastAsia="en-US"/>
        </w:rPr>
        <w:t>5,60</w:t>
      </w:r>
      <w:r w:rsidRPr="0044670F">
        <w:rPr>
          <w:lang w:eastAsia="en-US"/>
        </w:rPr>
        <w:t xml:space="preserve"> %. </w:t>
      </w:r>
      <w:r w:rsidR="00D629F5">
        <w:rPr>
          <w:lang w:eastAsia="en-US"/>
        </w:rPr>
        <w:t>63</w:t>
      </w:r>
      <w:r w:rsidR="00CE5F6E">
        <w:rPr>
          <w:lang w:eastAsia="en-US"/>
        </w:rPr>
        <w:t>% des dépenses de prévention</w:t>
      </w:r>
      <w:r w:rsidR="009721AB">
        <w:rPr>
          <w:lang w:eastAsia="en-US"/>
        </w:rPr>
        <w:t xml:space="preserve"> </w:t>
      </w:r>
      <w:r w:rsidR="00CE5F6E">
        <w:rPr>
          <w:lang w:eastAsia="en-US"/>
        </w:rPr>
        <w:t xml:space="preserve">sont consacrées à la surveillance </w:t>
      </w:r>
      <w:r w:rsidR="00661C8D">
        <w:rPr>
          <w:lang w:eastAsia="en-US"/>
        </w:rPr>
        <w:t>épidémiologique</w:t>
      </w:r>
      <w:r w:rsidR="00CE5F6E">
        <w:rPr>
          <w:lang w:eastAsia="en-US"/>
        </w:rPr>
        <w:t xml:space="preserve"> et programmes de lutte contre le risque et la maladie.</w:t>
      </w:r>
    </w:p>
    <w:p w:rsidR="00E36B0E" w:rsidRPr="0044670F" w:rsidRDefault="00E36B0E" w:rsidP="00452F67">
      <w:pPr>
        <w:spacing w:before="240"/>
        <w:rPr>
          <w:lang w:eastAsia="en-US"/>
        </w:rPr>
      </w:pPr>
      <w:r w:rsidRPr="0044670F">
        <w:rPr>
          <w:lang w:eastAsia="en-US"/>
        </w:rPr>
        <w:t xml:space="preserve">Puis, le troisième rang des dépenses de fonctions sanitaires est occupé par les dépenses </w:t>
      </w:r>
      <w:r w:rsidR="00727411">
        <w:rPr>
          <w:lang w:eastAsia="en-US"/>
        </w:rPr>
        <w:t>liées à la gouvernance</w:t>
      </w:r>
      <w:r w:rsidR="00333BCE" w:rsidRPr="0044670F">
        <w:rPr>
          <w:lang w:eastAsia="en-US"/>
        </w:rPr>
        <w:t>,</w:t>
      </w:r>
      <w:r w:rsidR="00333BCE">
        <w:rPr>
          <w:lang w:eastAsia="en-US"/>
        </w:rPr>
        <w:t xml:space="preserve"> administration</w:t>
      </w:r>
      <w:r w:rsidR="00727411">
        <w:rPr>
          <w:lang w:eastAsia="en-US"/>
        </w:rPr>
        <w:t xml:space="preserve"> du système</w:t>
      </w:r>
      <w:r w:rsidR="00333BCE">
        <w:rPr>
          <w:lang w:eastAsia="en-US"/>
        </w:rPr>
        <w:t xml:space="preserve"> de sant</w:t>
      </w:r>
      <w:r w:rsidR="00CE7566">
        <w:rPr>
          <w:lang w:eastAsia="en-US"/>
        </w:rPr>
        <w:t>é et des financements</w:t>
      </w:r>
      <w:r w:rsidRPr="0044670F">
        <w:rPr>
          <w:lang w:eastAsia="en-US"/>
        </w:rPr>
        <w:t xml:space="preserve"> avec </w:t>
      </w:r>
      <w:r w:rsidR="00D26E48">
        <w:rPr>
          <w:lang w:eastAsia="en-US"/>
        </w:rPr>
        <w:t>6,24</w:t>
      </w:r>
      <w:r w:rsidRPr="0044670F">
        <w:rPr>
          <w:lang w:eastAsia="en-US"/>
        </w:rPr>
        <w:t xml:space="preserve"> % de l’ensemble. Les </w:t>
      </w:r>
      <w:r w:rsidR="00727411">
        <w:rPr>
          <w:lang w:eastAsia="en-US"/>
        </w:rPr>
        <w:t xml:space="preserve">biens médicaux occupent </w:t>
      </w:r>
      <w:r w:rsidRPr="0044670F">
        <w:rPr>
          <w:lang w:eastAsia="en-US"/>
        </w:rPr>
        <w:t xml:space="preserve">le quatrième rang avec </w:t>
      </w:r>
      <w:r w:rsidR="00D26E48">
        <w:rPr>
          <w:lang w:eastAsia="en-US"/>
        </w:rPr>
        <w:t>7,75</w:t>
      </w:r>
      <w:r w:rsidRPr="0044670F">
        <w:rPr>
          <w:lang w:eastAsia="en-US"/>
        </w:rPr>
        <w:t xml:space="preserve"> %</w:t>
      </w:r>
      <w:r w:rsidR="00F764BF">
        <w:rPr>
          <w:lang w:eastAsia="en-US"/>
        </w:rPr>
        <w:t xml:space="preserve"> de l’ensemble</w:t>
      </w:r>
      <w:r w:rsidRPr="0044670F">
        <w:rPr>
          <w:lang w:eastAsia="en-US"/>
        </w:rPr>
        <w:t>.</w:t>
      </w:r>
    </w:p>
    <w:p w:rsidR="00E36B0E" w:rsidRPr="0044670F" w:rsidRDefault="00E36B0E" w:rsidP="00452F67">
      <w:pPr>
        <w:rPr>
          <w:lang w:eastAsia="en-US"/>
        </w:rPr>
      </w:pPr>
      <w:r w:rsidRPr="0044670F">
        <w:rPr>
          <w:lang w:eastAsia="en-US"/>
        </w:rPr>
        <w:t xml:space="preserve">Les autres fonctions sanitaires concernées n’en occupent que </w:t>
      </w:r>
      <w:r w:rsidR="00EC143E">
        <w:rPr>
          <w:lang w:eastAsia="en-US"/>
        </w:rPr>
        <w:t xml:space="preserve">environ </w:t>
      </w:r>
      <w:r w:rsidRPr="0044670F">
        <w:rPr>
          <w:lang w:eastAsia="en-US"/>
        </w:rPr>
        <w:t xml:space="preserve">1 % du total des dépenses des fonctions sanitaires, soit </w:t>
      </w:r>
      <w:r w:rsidR="00D26E48">
        <w:rPr>
          <w:lang w:eastAsia="en-US"/>
        </w:rPr>
        <w:t xml:space="preserve"> 1,34</w:t>
      </w:r>
      <w:r w:rsidRPr="0044670F">
        <w:rPr>
          <w:lang w:eastAsia="en-US"/>
        </w:rPr>
        <w:t xml:space="preserve"> % pour les soins de longue durée et </w:t>
      </w:r>
      <w:r w:rsidR="00D26E48">
        <w:rPr>
          <w:lang w:eastAsia="en-US"/>
        </w:rPr>
        <w:t>0,38</w:t>
      </w:r>
      <w:r w:rsidRPr="0044670F">
        <w:rPr>
          <w:lang w:eastAsia="en-US"/>
        </w:rPr>
        <w:t xml:space="preserve"> % pour </w:t>
      </w:r>
      <w:r w:rsidR="00CE5F6E">
        <w:rPr>
          <w:lang w:eastAsia="en-US"/>
        </w:rPr>
        <w:t xml:space="preserve">les </w:t>
      </w:r>
      <w:r w:rsidRPr="0044670F">
        <w:rPr>
          <w:lang w:eastAsia="en-US"/>
        </w:rPr>
        <w:t>services auxiliaires (non spécifiés par fonction).</w:t>
      </w:r>
    </w:p>
    <w:p w:rsidR="00E36B0E" w:rsidRPr="0044670F" w:rsidRDefault="0081780F" w:rsidP="0081780F">
      <w:pPr>
        <w:pStyle w:val="Titre4"/>
        <w:numPr>
          <w:ilvl w:val="3"/>
          <w:numId w:val="37"/>
        </w:numPr>
        <w:autoSpaceDE/>
        <w:autoSpaceDN/>
        <w:adjustRightInd/>
        <w:spacing w:after="0" w:line="240" w:lineRule="auto"/>
        <w:jc w:val="left"/>
      </w:pPr>
      <w:bookmarkStart w:id="38" w:name="_Toc413941234"/>
      <w:r>
        <w:t xml:space="preserve">3.1.8. </w:t>
      </w:r>
      <w:r w:rsidR="00E36B0E" w:rsidRPr="0044670F">
        <w:t>Répartition des dép</w:t>
      </w:r>
      <w:r w:rsidR="0061489F">
        <w:t>enses de santé par bénéficiaire</w:t>
      </w:r>
      <w:bookmarkEnd w:id="38"/>
    </w:p>
    <w:p w:rsidR="0081780F" w:rsidRDefault="0081780F" w:rsidP="00970180">
      <w:pPr>
        <w:spacing w:after="0" w:line="312" w:lineRule="auto"/>
        <w:rPr>
          <w:lang w:eastAsia="en-US"/>
        </w:rPr>
      </w:pPr>
    </w:p>
    <w:p w:rsidR="00E36B0E" w:rsidRPr="0044670F" w:rsidRDefault="00E36B0E" w:rsidP="00587784">
      <w:pPr>
        <w:spacing w:line="312" w:lineRule="auto"/>
        <w:rPr>
          <w:lang w:eastAsia="en-US"/>
        </w:rPr>
      </w:pPr>
      <w:r w:rsidRPr="0044670F">
        <w:rPr>
          <w:lang w:eastAsia="en-US"/>
        </w:rPr>
        <w:t>Deux types de bénéficiaires sont concernés dans cette partie à savoir les</w:t>
      </w:r>
      <w:r w:rsidR="0061489F">
        <w:rPr>
          <w:lang w:eastAsia="en-US"/>
        </w:rPr>
        <w:t xml:space="preserve"> régions et les tranches d’âge.</w:t>
      </w:r>
    </w:p>
    <w:p w:rsidR="00E36B0E" w:rsidRPr="0044670F" w:rsidRDefault="0081780F" w:rsidP="0081780F">
      <w:pPr>
        <w:pStyle w:val="Titre4"/>
        <w:ind w:left="1440" w:hanging="1080"/>
      </w:pPr>
      <w:r w:rsidRPr="00970180">
        <w:t xml:space="preserve">3.1.8.1. </w:t>
      </w:r>
      <w:r w:rsidR="00E36B0E" w:rsidRPr="00970180">
        <w:t xml:space="preserve">Répartition des dépenses de santé par </w:t>
      </w:r>
      <w:r w:rsidR="00DC3685" w:rsidRPr="00970180">
        <w:t>région</w:t>
      </w:r>
    </w:p>
    <w:p w:rsidR="00E36B0E" w:rsidRPr="0044670F" w:rsidRDefault="00E36B0E" w:rsidP="00452F67">
      <w:pPr>
        <w:rPr>
          <w:lang w:eastAsia="en-US"/>
        </w:rPr>
      </w:pPr>
      <w:r w:rsidRPr="0044670F">
        <w:rPr>
          <w:lang w:eastAsia="en-US"/>
        </w:rPr>
        <w:t xml:space="preserve">D’après </w:t>
      </w:r>
      <w:r w:rsidR="0046778E" w:rsidRPr="0046778E">
        <w:rPr>
          <w:lang w:eastAsia="en-US"/>
        </w:rPr>
        <w:t>le t</w:t>
      </w:r>
      <w:r w:rsidR="0046778E">
        <w:rPr>
          <w:lang w:eastAsia="en-US"/>
        </w:rPr>
        <w:t>ableau annexe 2</w:t>
      </w:r>
      <w:r w:rsidRPr="0044670F">
        <w:rPr>
          <w:lang w:eastAsia="en-US"/>
        </w:rPr>
        <w:t>, les régimes de financement ont mobilisé leurs dépenses à 25,35 % pour le district de Bamako, devenant ainsi le premier bénéficiaire des fonds mobilisés par les recettes des régimes de financement. Cela s’expliquerait par la présence d’importantes structures de santé à ce niveau, notamment les hôpitaux de troisième référence et les six centres de santé de référence.</w:t>
      </w:r>
    </w:p>
    <w:p w:rsidR="00E36B0E" w:rsidRPr="0044670F" w:rsidRDefault="00E36B0E" w:rsidP="00452F67">
      <w:pPr>
        <w:rPr>
          <w:lang w:eastAsia="en-US"/>
        </w:rPr>
      </w:pPr>
      <w:r w:rsidRPr="0044670F">
        <w:rPr>
          <w:lang w:eastAsia="en-US"/>
        </w:rPr>
        <w:t>La région de Sikasso est le deuxième bénéficiaire avec 17,81 % des fonds dépensés. Le niveau central est le troisième bénéficiaire avec 11,18 %. Ce niveau regroupe les structures de coordination de la santé.</w:t>
      </w:r>
    </w:p>
    <w:p w:rsidR="00CC00A4" w:rsidRDefault="00E36B0E" w:rsidP="00452F67">
      <w:pPr>
        <w:spacing w:after="0"/>
        <w:rPr>
          <w:lang w:eastAsia="en-US"/>
        </w:rPr>
      </w:pPr>
      <w:r w:rsidRPr="0044670F">
        <w:rPr>
          <w:lang w:eastAsia="en-US"/>
        </w:rPr>
        <w:t xml:space="preserve">En s’intéressant à la répartition des dépenses des recettes des régimes de financement par région bénéficiaire, on constate que les trois premiers « recettes des régimes de financement » </w:t>
      </w:r>
      <w:r w:rsidR="00452F67">
        <w:rPr>
          <w:lang w:eastAsia="en-US"/>
        </w:rPr>
        <w:t>du tableau</w:t>
      </w:r>
      <w:r w:rsidRPr="0044670F">
        <w:rPr>
          <w:lang w:eastAsia="en-US"/>
        </w:rPr>
        <w:t xml:space="preserve">7 ont tous comme premier bénéficiaire le niveau central avec 62,20 % des dépenses des «  transferts issus des revenus nationaux de l’administration publique (alloués à la santé), 27,44 % des «transferts d’origine étrangère distribués par l’administration publique » et 44,32 % des « cotisations d’assurance sociale ». Ces mêmes recettes des régimes de financement font du District de Bamako leur deuxième bénéficiaire avec respectivement 7,52 %, 16,13 % et 37, 29 % de leurs dépenses mobilisées pour le District de Bamako. </w:t>
      </w:r>
    </w:p>
    <w:p w:rsidR="00E36B0E" w:rsidRPr="0044670F" w:rsidRDefault="00E36B0E" w:rsidP="00CC00A4">
      <w:pPr>
        <w:spacing w:before="240" w:after="0"/>
        <w:rPr>
          <w:lang w:eastAsia="en-US"/>
        </w:rPr>
      </w:pPr>
      <w:r w:rsidRPr="0044670F">
        <w:rPr>
          <w:lang w:eastAsia="en-US"/>
        </w:rPr>
        <w:t>La région de Sikasso est leur troisième bénéficiaire avec 6,65 % pour «  transferts issus des revenus nationaux de l’administration publique (alloués à la santé), 12,73 % pour «transferts d’origine étrangère distribués par l’administration publique » et 7,71 % pour « cotisations d’assurance sociale ».</w:t>
      </w:r>
    </w:p>
    <w:p w:rsidR="00734095" w:rsidRPr="0044670F" w:rsidRDefault="00452F67" w:rsidP="00C63457">
      <w:pPr>
        <w:spacing w:before="240"/>
        <w:rPr>
          <w:lang w:eastAsia="en-US"/>
        </w:rPr>
      </w:pPr>
      <w:r>
        <w:rPr>
          <w:lang w:eastAsia="en-US"/>
        </w:rPr>
        <w:t xml:space="preserve">Pour </w:t>
      </w:r>
      <w:r w:rsidR="00734095" w:rsidRPr="0044670F">
        <w:rPr>
          <w:lang w:eastAsia="en-US"/>
        </w:rPr>
        <w:t>« les prépaiements volontaires », « autres revenus nationaux » et « transferts directs étrangers », le district de Bamako est le premier bénéficiaire des fonds avec respectivement 28,08 %, 31,89 % et 19,91% de leurs dépenses. Les « prépaiements volontaires » et les « autres revenus nationaux » ont pour deuxième bénéficiaire la région de Sikasso avec respectivement 20,18 % et 22,24 de leurs dépenses au profit de cette région. Les « transferts directs étrangers ont pour deuxième bénéficiaire la région de Tombouctou avec 17,64 % de ces dépenses.</w:t>
      </w:r>
    </w:p>
    <w:p w:rsidR="00743F86" w:rsidRPr="0044670F" w:rsidRDefault="0081780F" w:rsidP="0081780F">
      <w:pPr>
        <w:pStyle w:val="Titre4"/>
        <w:ind w:left="1440" w:hanging="1080"/>
      </w:pPr>
      <w:r>
        <w:t xml:space="preserve">3.1.8.2. </w:t>
      </w:r>
      <w:r w:rsidR="00734095" w:rsidRPr="0044670F">
        <w:t>Répartition des dépenses par âge</w:t>
      </w:r>
    </w:p>
    <w:p w:rsidR="00734095" w:rsidRPr="0044670F" w:rsidRDefault="00734095" w:rsidP="00587784">
      <w:pPr>
        <w:spacing w:line="312" w:lineRule="auto"/>
        <w:rPr>
          <w:lang w:eastAsia="en-US"/>
        </w:rPr>
      </w:pPr>
      <w:r w:rsidRPr="0044670F">
        <w:rPr>
          <w:lang w:eastAsia="en-US"/>
        </w:rPr>
        <w:t xml:space="preserve">Le tableau </w:t>
      </w:r>
      <w:r w:rsidR="00D21BB3">
        <w:rPr>
          <w:lang w:eastAsia="en-US"/>
        </w:rPr>
        <w:t>3.</w:t>
      </w:r>
      <w:r w:rsidR="00C3017C">
        <w:rPr>
          <w:lang w:eastAsia="en-US"/>
        </w:rPr>
        <w:t>1.</w:t>
      </w:r>
      <w:r w:rsidRPr="0044670F">
        <w:rPr>
          <w:lang w:eastAsia="en-US"/>
        </w:rPr>
        <w:t>8 récapitule la répartition des dépenses de santé par tranche d’âge</w:t>
      </w:r>
      <w:r w:rsidR="00743F86" w:rsidRPr="0044670F">
        <w:rPr>
          <w:lang w:eastAsia="en-US"/>
        </w:rPr>
        <w:t xml:space="preserve"> en </w:t>
      </w:r>
      <w:r w:rsidR="001637FA" w:rsidRPr="0044670F">
        <w:rPr>
          <w:lang w:eastAsia="en-US"/>
        </w:rPr>
        <w:t>201</w:t>
      </w:r>
      <w:r w:rsidR="001637FA">
        <w:rPr>
          <w:lang w:eastAsia="en-US"/>
        </w:rPr>
        <w:t>4</w:t>
      </w:r>
      <w:r w:rsidR="0061489F">
        <w:rPr>
          <w:lang w:eastAsia="en-US"/>
        </w:rPr>
        <w:t>.</w:t>
      </w:r>
    </w:p>
    <w:p w:rsidR="00E7341E" w:rsidRDefault="00E7341E" w:rsidP="00E7341E">
      <w:pPr>
        <w:pStyle w:val="Lgende"/>
        <w:rPr>
          <w:color w:val="000000" w:themeColor="text1"/>
          <w:sz w:val="22"/>
          <w:szCs w:val="22"/>
          <w:lang w:eastAsia="en-US"/>
        </w:rPr>
      </w:pPr>
      <w:bookmarkStart w:id="39" w:name="_Toc483991267"/>
      <w:r w:rsidRPr="00D21BB3">
        <w:rPr>
          <w:color w:val="000000" w:themeColor="text1"/>
          <w:sz w:val="22"/>
          <w:szCs w:val="22"/>
        </w:rPr>
        <w:t xml:space="preserve">Tableau </w:t>
      </w:r>
      <w:r w:rsidR="00E72F8E">
        <w:rPr>
          <w:color w:val="000000" w:themeColor="text1"/>
          <w:sz w:val="22"/>
          <w:szCs w:val="22"/>
        </w:rPr>
        <w:fldChar w:fldCharType="begin"/>
      </w:r>
      <w:r>
        <w:rPr>
          <w:color w:val="000000" w:themeColor="text1"/>
          <w:sz w:val="22"/>
          <w:szCs w:val="22"/>
        </w:rPr>
        <w:instrText xml:space="preserve"> STYLEREF 2 \s </w:instrText>
      </w:r>
      <w:r w:rsidR="00E72F8E">
        <w:rPr>
          <w:color w:val="000000" w:themeColor="text1"/>
          <w:sz w:val="22"/>
          <w:szCs w:val="22"/>
        </w:rPr>
        <w:fldChar w:fldCharType="separate"/>
      </w:r>
      <w:r>
        <w:rPr>
          <w:noProof/>
          <w:color w:val="000000" w:themeColor="text1"/>
          <w:sz w:val="22"/>
          <w:szCs w:val="22"/>
        </w:rPr>
        <w:t>3.1</w:t>
      </w:r>
      <w:r w:rsidR="00E72F8E">
        <w:rPr>
          <w:color w:val="000000" w:themeColor="text1"/>
          <w:sz w:val="22"/>
          <w:szCs w:val="22"/>
        </w:rPr>
        <w:fldChar w:fldCharType="end"/>
      </w:r>
      <w:r>
        <w:rPr>
          <w:color w:val="000000" w:themeColor="text1"/>
          <w:sz w:val="22"/>
          <w:szCs w:val="22"/>
        </w:rPr>
        <w:t>.</w:t>
      </w:r>
      <w:r w:rsidR="00E72F8E">
        <w:rPr>
          <w:color w:val="000000" w:themeColor="text1"/>
          <w:sz w:val="22"/>
          <w:szCs w:val="22"/>
        </w:rPr>
        <w:fldChar w:fldCharType="begin"/>
      </w:r>
      <w:r>
        <w:rPr>
          <w:color w:val="000000" w:themeColor="text1"/>
          <w:sz w:val="22"/>
          <w:szCs w:val="22"/>
        </w:rPr>
        <w:instrText xml:space="preserve"> SEQ Tableau \* ARABIC \s 2 </w:instrText>
      </w:r>
      <w:r w:rsidR="00E72F8E">
        <w:rPr>
          <w:color w:val="000000" w:themeColor="text1"/>
          <w:sz w:val="22"/>
          <w:szCs w:val="22"/>
        </w:rPr>
        <w:fldChar w:fldCharType="separate"/>
      </w:r>
      <w:r>
        <w:rPr>
          <w:noProof/>
          <w:color w:val="000000" w:themeColor="text1"/>
          <w:sz w:val="22"/>
          <w:szCs w:val="22"/>
        </w:rPr>
        <w:t>8</w:t>
      </w:r>
      <w:r w:rsidR="00E72F8E">
        <w:rPr>
          <w:color w:val="000000" w:themeColor="text1"/>
          <w:sz w:val="22"/>
          <w:szCs w:val="22"/>
        </w:rPr>
        <w:fldChar w:fldCharType="end"/>
      </w:r>
      <w:r w:rsidRPr="00D21BB3">
        <w:rPr>
          <w:color w:val="000000" w:themeColor="text1"/>
          <w:sz w:val="22"/>
          <w:szCs w:val="22"/>
        </w:rPr>
        <w:t xml:space="preserve"> : </w:t>
      </w:r>
      <w:r w:rsidRPr="00D21BB3">
        <w:rPr>
          <w:color w:val="000000" w:themeColor="text1"/>
          <w:sz w:val="22"/>
          <w:szCs w:val="22"/>
          <w:lang w:eastAsia="en-US"/>
        </w:rPr>
        <w:t>Répartition des dépenses de santé par tranche d’âge</w:t>
      </w:r>
      <w:bookmarkEnd w:id="39"/>
    </w:p>
    <w:tbl>
      <w:tblPr>
        <w:tblW w:w="5000" w:type="pct"/>
        <w:tblCellMar>
          <w:left w:w="70" w:type="dxa"/>
          <w:right w:w="70" w:type="dxa"/>
        </w:tblCellMar>
        <w:tblLook w:val="04A0"/>
      </w:tblPr>
      <w:tblGrid>
        <w:gridCol w:w="2410"/>
        <w:gridCol w:w="2881"/>
        <w:gridCol w:w="1493"/>
        <w:gridCol w:w="1636"/>
        <w:gridCol w:w="1126"/>
      </w:tblGrid>
      <w:tr w:rsidR="00901BD7" w:rsidRPr="00717A2E" w:rsidTr="00E127ED">
        <w:trPr>
          <w:trHeight w:val="738"/>
        </w:trPr>
        <w:tc>
          <w:tcPr>
            <w:tcW w:w="2771" w:type="pct"/>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01BD7" w:rsidRPr="00717A2E" w:rsidRDefault="00901BD7" w:rsidP="00E127ED">
            <w:pPr>
              <w:autoSpaceDE/>
              <w:autoSpaceDN/>
              <w:adjustRightInd/>
              <w:spacing w:after="0" w:line="240" w:lineRule="auto"/>
              <w:jc w:val="center"/>
              <w:rPr>
                <w:rFonts w:eastAsia="Times New Roman"/>
                <w:b/>
                <w:lang w:eastAsia="fr-FR"/>
              </w:rPr>
            </w:pPr>
            <w:r w:rsidRPr="00717A2E">
              <w:rPr>
                <w:rFonts w:eastAsia="Times New Roman"/>
                <w:b/>
                <w:sz w:val="22"/>
                <w:szCs w:val="22"/>
                <w:lang w:eastAsia="fr-FR"/>
              </w:rPr>
              <w:t>Tranches d'âge</w:t>
            </w:r>
          </w:p>
        </w:tc>
        <w:tc>
          <w:tcPr>
            <w:tcW w:w="1639" w:type="pct"/>
            <w:gridSpan w:val="2"/>
            <w:tcBorders>
              <w:top w:val="single" w:sz="8" w:space="0" w:color="auto"/>
              <w:left w:val="nil"/>
              <w:bottom w:val="single" w:sz="4" w:space="0" w:color="auto"/>
              <w:right w:val="single" w:sz="4" w:space="0" w:color="auto"/>
            </w:tcBorders>
            <w:shd w:val="clear" w:color="auto" w:fill="auto"/>
            <w:noWrap/>
            <w:vAlign w:val="center"/>
            <w:hideMark/>
          </w:tcPr>
          <w:p w:rsidR="00901BD7" w:rsidRPr="00717A2E" w:rsidRDefault="00901BD7" w:rsidP="00E127ED">
            <w:pPr>
              <w:autoSpaceDE/>
              <w:autoSpaceDN/>
              <w:adjustRightInd/>
              <w:spacing w:after="0" w:line="240" w:lineRule="auto"/>
              <w:jc w:val="center"/>
              <w:rPr>
                <w:rFonts w:eastAsia="Times New Roman"/>
                <w:b/>
                <w:lang w:eastAsia="fr-FR"/>
              </w:rPr>
            </w:pPr>
            <w:r w:rsidRPr="00717A2E">
              <w:rPr>
                <w:rFonts w:eastAsia="Times New Roman"/>
                <w:b/>
                <w:sz w:val="22"/>
                <w:szCs w:val="22"/>
                <w:lang w:eastAsia="fr-FR"/>
              </w:rPr>
              <w:t>Montant</w:t>
            </w:r>
          </w:p>
        </w:tc>
        <w:tc>
          <w:tcPr>
            <w:tcW w:w="590" w:type="pct"/>
            <w:tcBorders>
              <w:top w:val="single" w:sz="8" w:space="0" w:color="auto"/>
              <w:left w:val="nil"/>
              <w:bottom w:val="single" w:sz="4" w:space="0" w:color="auto"/>
              <w:right w:val="single" w:sz="8" w:space="0" w:color="auto"/>
            </w:tcBorders>
            <w:shd w:val="clear" w:color="auto" w:fill="auto"/>
            <w:noWrap/>
            <w:vAlign w:val="center"/>
            <w:hideMark/>
          </w:tcPr>
          <w:p w:rsidR="00901BD7" w:rsidRPr="00717A2E" w:rsidRDefault="00901BD7" w:rsidP="00E127ED">
            <w:pPr>
              <w:autoSpaceDE/>
              <w:autoSpaceDN/>
              <w:adjustRightInd/>
              <w:spacing w:after="0" w:line="240" w:lineRule="auto"/>
              <w:jc w:val="center"/>
              <w:rPr>
                <w:rFonts w:eastAsia="Times New Roman"/>
                <w:b/>
                <w:lang w:eastAsia="fr-FR"/>
              </w:rPr>
            </w:pPr>
            <w:r w:rsidRPr="00717A2E">
              <w:rPr>
                <w:rFonts w:eastAsia="Times New Roman"/>
                <w:b/>
                <w:sz w:val="22"/>
                <w:szCs w:val="22"/>
                <w:lang w:eastAsia="fr-FR"/>
              </w:rPr>
              <w:t>%</w:t>
            </w:r>
          </w:p>
        </w:tc>
      </w:tr>
      <w:tr w:rsidR="00901BD7" w:rsidRPr="00717A2E" w:rsidTr="00E127ED">
        <w:trPr>
          <w:trHeight w:val="300"/>
        </w:trPr>
        <w:tc>
          <w:tcPr>
            <w:tcW w:w="1262" w:type="pct"/>
            <w:tcBorders>
              <w:top w:val="nil"/>
              <w:left w:val="single" w:sz="8" w:space="0" w:color="auto"/>
              <w:bottom w:val="single" w:sz="4" w:space="0" w:color="auto"/>
              <w:right w:val="single" w:sz="4" w:space="0" w:color="auto"/>
            </w:tcBorders>
            <w:shd w:val="clear" w:color="auto" w:fill="auto"/>
            <w:hideMark/>
          </w:tcPr>
          <w:p w:rsidR="00901BD7" w:rsidRPr="00717A2E" w:rsidRDefault="00901BD7" w:rsidP="00E127ED">
            <w:pPr>
              <w:autoSpaceDE/>
              <w:autoSpaceDN/>
              <w:adjustRightInd/>
              <w:spacing w:after="0" w:line="240" w:lineRule="auto"/>
              <w:jc w:val="left"/>
              <w:rPr>
                <w:rFonts w:eastAsia="Times New Roman"/>
                <w:b/>
                <w:color w:val="auto"/>
                <w:lang w:eastAsia="fr-FR"/>
              </w:rPr>
            </w:pPr>
            <w:r w:rsidRPr="00717A2E">
              <w:rPr>
                <w:rFonts w:eastAsia="Times New Roman"/>
                <w:b/>
                <w:color w:val="auto"/>
                <w:sz w:val="22"/>
                <w:szCs w:val="22"/>
                <w:lang w:eastAsia="fr-FR"/>
              </w:rPr>
              <w:t>&lt; 5 ans</w:t>
            </w:r>
          </w:p>
        </w:tc>
        <w:tc>
          <w:tcPr>
            <w:tcW w:w="1509" w:type="pct"/>
            <w:tcBorders>
              <w:top w:val="nil"/>
              <w:left w:val="nil"/>
              <w:bottom w:val="single" w:sz="4" w:space="0" w:color="auto"/>
              <w:right w:val="single" w:sz="4" w:space="0" w:color="auto"/>
            </w:tcBorders>
            <w:shd w:val="clear" w:color="auto" w:fill="auto"/>
            <w:hideMark/>
          </w:tcPr>
          <w:p w:rsidR="00901BD7" w:rsidRPr="00717A2E" w:rsidRDefault="00901BD7" w:rsidP="00E127ED">
            <w:pPr>
              <w:autoSpaceDE/>
              <w:autoSpaceDN/>
              <w:adjustRightInd/>
              <w:spacing w:after="0" w:line="240" w:lineRule="auto"/>
              <w:jc w:val="left"/>
              <w:rPr>
                <w:rFonts w:eastAsia="Times New Roman"/>
                <w:b/>
                <w:color w:val="auto"/>
                <w:sz w:val="20"/>
                <w:szCs w:val="20"/>
                <w:lang w:eastAsia="fr-FR"/>
              </w:rPr>
            </w:pPr>
            <w:r w:rsidRPr="00717A2E">
              <w:rPr>
                <w:rFonts w:eastAsia="Times New Roman"/>
                <w:b/>
                <w:color w:val="auto"/>
                <w:sz w:val="20"/>
                <w:szCs w:val="20"/>
                <w:lang w:eastAsia="fr-FR"/>
              </w:rPr>
              <w:t> </w:t>
            </w:r>
          </w:p>
        </w:tc>
        <w:tc>
          <w:tcPr>
            <w:tcW w:w="782" w:type="pct"/>
            <w:tcBorders>
              <w:top w:val="nil"/>
              <w:left w:val="nil"/>
              <w:bottom w:val="single" w:sz="4" w:space="0" w:color="auto"/>
              <w:right w:val="single" w:sz="4" w:space="0" w:color="auto"/>
            </w:tcBorders>
            <w:shd w:val="clear" w:color="auto" w:fill="auto"/>
            <w:noWrap/>
            <w:hideMark/>
          </w:tcPr>
          <w:p w:rsidR="00901BD7" w:rsidRPr="00717A2E" w:rsidRDefault="00901BD7" w:rsidP="00E127ED">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173801,85</w:t>
            </w:r>
          </w:p>
        </w:tc>
        <w:tc>
          <w:tcPr>
            <w:tcW w:w="857" w:type="pct"/>
            <w:tcBorders>
              <w:top w:val="nil"/>
              <w:left w:val="nil"/>
              <w:bottom w:val="single" w:sz="4" w:space="0" w:color="auto"/>
              <w:right w:val="single" w:sz="4" w:space="0" w:color="auto"/>
            </w:tcBorders>
            <w:shd w:val="clear" w:color="auto" w:fill="auto"/>
            <w:noWrap/>
            <w:vAlign w:val="center"/>
            <w:hideMark/>
          </w:tcPr>
          <w:p w:rsidR="00901BD7" w:rsidRPr="00717A2E" w:rsidRDefault="00901BD7" w:rsidP="00E127ED">
            <w:pPr>
              <w:autoSpaceDE/>
              <w:autoSpaceDN/>
              <w:adjustRightInd/>
              <w:spacing w:after="0" w:line="240" w:lineRule="auto"/>
              <w:jc w:val="center"/>
              <w:rPr>
                <w:rFonts w:eastAsia="Times New Roman"/>
                <w:bCs w:val="0"/>
                <w:lang w:eastAsia="fr-FR"/>
              </w:rPr>
            </w:pPr>
            <w:r>
              <w:rPr>
                <w:rFonts w:eastAsia="Times New Roman"/>
                <w:bCs w:val="0"/>
                <w:sz w:val="22"/>
                <w:szCs w:val="22"/>
                <w:lang w:eastAsia="fr-FR"/>
              </w:rPr>
              <w:t xml:space="preserve"> 173801,85</w:t>
            </w:r>
          </w:p>
        </w:tc>
        <w:tc>
          <w:tcPr>
            <w:tcW w:w="590" w:type="pct"/>
            <w:tcBorders>
              <w:top w:val="nil"/>
              <w:left w:val="nil"/>
              <w:bottom w:val="single" w:sz="4" w:space="0" w:color="auto"/>
              <w:right w:val="single" w:sz="8" w:space="0" w:color="auto"/>
            </w:tcBorders>
            <w:shd w:val="clear" w:color="auto" w:fill="auto"/>
            <w:noWrap/>
            <w:vAlign w:val="center"/>
            <w:hideMark/>
          </w:tcPr>
          <w:p w:rsidR="00901BD7" w:rsidRPr="00717A2E" w:rsidRDefault="00901BD7" w:rsidP="00E127ED">
            <w:pPr>
              <w:autoSpaceDE/>
              <w:autoSpaceDN/>
              <w:adjustRightInd/>
              <w:spacing w:after="0" w:line="240" w:lineRule="auto"/>
              <w:jc w:val="center"/>
              <w:rPr>
                <w:rFonts w:eastAsia="Times New Roman"/>
                <w:bCs w:val="0"/>
                <w:lang w:eastAsia="fr-FR"/>
              </w:rPr>
            </w:pPr>
            <w:r>
              <w:rPr>
                <w:rFonts w:eastAsia="Times New Roman"/>
                <w:bCs w:val="0"/>
                <w:sz w:val="22"/>
                <w:szCs w:val="22"/>
                <w:lang w:eastAsia="fr-FR"/>
              </w:rPr>
              <w:t>43,31</w:t>
            </w:r>
          </w:p>
        </w:tc>
      </w:tr>
      <w:tr w:rsidR="00901BD7" w:rsidRPr="00717A2E" w:rsidTr="00E127ED">
        <w:trPr>
          <w:trHeight w:val="300"/>
        </w:trPr>
        <w:tc>
          <w:tcPr>
            <w:tcW w:w="1262" w:type="pct"/>
            <w:vMerge w:val="restart"/>
            <w:tcBorders>
              <w:top w:val="nil"/>
              <w:left w:val="single" w:sz="8" w:space="0" w:color="auto"/>
              <w:bottom w:val="single" w:sz="4" w:space="0" w:color="000000"/>
              <w:right w:val="single" w:sz="4" w:space="0" w:color="auto"/>
            </w:tcBorders>
            <w:shd w:val="clear" w:color="auto" w:fill="auto"/>
            <w:vAlign w:val="center"/>
            <w:hideMark/>
          </w:tcPr>
          <w:p w:rsidR="00901BD7" w:rsidRPr="00717A2E" w:rsidRDefault="00901BD7" w:rsidP="00E127ED">
            <w:pPr>
              <w:autoSpaceDE/>
              <w:autoSpaceDN/>
              <w:adjustRightInd/>
              <w:spacing w:after="0" w:line="240" w:lineRule="auto"/>
              <w:jc w:val="left"/>
              <w:rPr>
                <w:rFonts w:eastAsia="Times New Roman"/>
                <w:b/>
                <w:color w:val="auto"/>
                <w:lang w:eastAsia="fr-FR"/>
              </w:rPr>
            </w:pPr>
            <w:r w:rsidRPr="00717A2E">
              <w:rPr>
                <w:rFonts w:eastAsia="Times New Roman"/>
                <w:b/>
                <w:color w:val="auto"/>
                <w:sz w:val="22"/>
                <w:szCs w:val="22"/>
                <w:lang w:eastAsia="fr-FR"/>
              </w:rPr>
              <w:t>≥ 5 ans</w:t>
            </w:r>
          </w:p>
        </w:tc>
        <w:tc>
          <w:tcPr>
            <w:tcW w:w="1509" w:type="pct"/>
            <w:tcBorders>
              <w:top w:val="nil"/>
              <w:left w:val="nil"/>
              <w:bottom w:val="single" w:sz="4" w:space="0" w:color="auto"/>
              <w:right w:val="single" w:sz="4" w:space="0" w:color="auto"/>
            </w:tcBorders>
            <w:shd w:val="clear" w:color="auto" w:fill="auto"/>
            <w:hideMark/>
          </w:tcPr>
          <w:p w:rsidR="00901BD7" w:rsidRPr="00717A2E" w:rsidRDefault="00901BD7" w:rsidP="00E127ED">
            <w:pPr>
              <w:autoSpaceDE/>
              <w:autoSpaceDN/>
              <w:adjustRightInd/>
              <w:spacing w:after="0" w:line="240" w:lineRule="auto"/>
              <w:jc w:val="left"/>
              <w:rPr>
                <w:rFonts w:eastAsia="Times New Roman"/>
                <w:bCs w:val="0"/>
                <w:color w:val="auto"/>
                <w:sz w:val="20"/>
                <w:szCs w:val="20"/>
                <w:lang w:eastAsia="fr-FR"/>
              </w:rPr>
            </w:pPr>
            <w:r w:rsidRPr="00717A2E">
              <w:rPr>
                <w:rFonts w:eastAsia="Times New Roman"/>
                <w:bCs w:val="0"/>
                <w:color w:val="auto"/>
                <w:sz w:val="20"/>
                <w:szCs w:val="20"/>
                <w:lang w:eastAsia="fr-FR"/>
              </w:rPr>
              <w:t>5-14 ans</w:t>
            </w:r>
          </w:p>
        </w:tc>
        <w:tc>
          <w:tcPr>
            <w:tcW w:w="782" w:type="pct"/>
            <w:tcBorders>
              <w:top w:val="nil"/>
              <w:left w:val="nil"/>
              <w:bottom w:val="single" w:sz="4" w:space="0" w:color="auto"/>
              <w:right w:val="single" w:sz="4" w:space="0" w:color="auto"/>
            </w:tcBorders>
            <w:shd w:val="clear" w:color="auto" w:fill="auto"/>
            <w:noWrap/>
            <w:hideMark/>
          </w:tcPr>
          <w:p w:rsidR="00901BD7" w:rsidRPr="00717A2E" w:rsidRDefault="00901BD7" w:rsidP="00E127ED">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 xml:space="preserve">63152,85  </w:t>
            </w:r>
          </w:p>
        </w:tc>
        <w:tc>
          <w:tcPr>
            <w:tcW w:w="85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01BD7" w:rsidRPr="00717A2E" w:rsidRDefault="00901BD7" w:rsidP="00E127ED">
            <w:pPr>
              <w:autoSpaceDE/>
              <w:autoSpaceDN/>
              <w:adjustRightInd/>
              <w:spacing w:after="0" w:line="240" w:lineRule="auto"/>
              <w:jc w:val="center"/>
              <w:rPr>
                <w:rFonts w:eastAsia="Times New Roman"/>
                <w:bCs w:val="0"/>
                <w:lang w:eastAsia="fr-FR"/>
              </w:rPr>
            </w:pPr>
            <w:r>
              <w:rPr>
                <w:rFonts w:eastAsia="Times New Roman"/>
                <w:bCs w:val="0"/>
                <w:sz w:val="22"/>
                <w:szCs w:val="22"/>
                <w:lang w:eastAsia="fr-FR"/>
              </w:rPr>
              <w:t xml:space="preserve"> 227508,76</w:t>
            </w:r>
          </w:p>
        </w:tc>
        <w:tc>
          <w:tcPr>
            <w:tcW w:w="590"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901BD7" w:rsidRPr="00717A2E" w:rsidRDefault="00901BD7" w:rsidP="00E127ED">
            <w:pPr>
              <w:autoSpaceDE/>
              <w:autoSpaceDN/>
              <w:adjustRightInd/>
              <w:spacing w:after="0" w:line="240" w:lineRule="auto"/>
              <w:jc w:val="center"/>
              <w:rPr>
                <w:rFonts w:eastAsia="Times New Roman"/>
                <w:bCs w:val="0"/>
                <w:lang w:eastAsia="fr-FR"/>
              </w:rPr>
            </w:pPr>
            <w:r w:rsidRPr="00717A2E">
              <w:rPr>
                <w:rFonts w:eastAsia="Times New Roman"/>
                <w:bCs w:val="0"/>
                <w:sz w:val="22"/>
                <w:szCs w:val="22"/>
                <w:lang w:eastAsia="fr-FR"/>
              </w:rPr>
              <w:t>5</w:t>
            </w:r>
            <w:r>
              <w:rPr>
                <w:rFonts w:eastAsia="Times New Roman"/>
                <w:bCs w:val="0"/>
                <w:sz w:val="22"/>
                <w:szCs w:val="22"/>
                <w:lang w:eastAsia="fr-FR"/>
              </w:rPr>
              <w:t>6</w:t>
            </w:r>
            <w:r w:rsidRPr="00717A2E">
              <w:rPr>
                <w:rFonts w:eastAsia="Times New Roman"/>
                <w:bCs w:val="0"/>
                <w:sz w:val="22"/>
                <w:szCs w:val="22"/>
                <w:lang w:eastAsia="fr-FR"/>
              </w:rPr>
              <w:t>,</w:t>
            </w:r>
            <w:r>
              <w:rPr>
                <w:rFonts w:eastAsia="Times New Roman"/>
                <w:bCs w:val="0"/>
                <w:sz w:val="22"/>
                <w:szCs w:val="22"/>
                <w:lang w:eastAsia="fr-FR"/>
              </w:rPr>
              <w:t>69</w:t>
            </w:r>
          </w:p>
        </w:tc>
      </w:tr>
      <w:tr w:rsidR="00901BD7" w:rsidRPr="00717A2E" w:rsidTr="00E127ED">
        <w:trPr>
          <w:trHeight w:val="300"/>
        </w:trPr>
        <w:tc>
          <w:tcPr>
            <w:tcW w:w="1262" w:type="pct"/>
            <w:vMerge/>
            <w:tcBorders>
              <w:top w:val="nil"/>
              <w:left w:val="single" w:sz="8" w:space="0" w:color="auto"/>
              <w:bottom w:val="single" w:sz="4" w:space="0" w:color="000000"/>
              <w:right w:val="single" w:sz="4" w:space="0" w:color="auto"/>
            </w:tcBorders>
            <w:vAlign w:val="center"/>
            <w:hideMark/>
          </w:tcPr>
          <w:p w:rsidR="00901BD7" w:rsidRPr="00717A2E" w:rsidRDefault="00901BD7" w:rsidP="00E127ED">
            <w:pPr>
              <w:autoSpaceDE/>
              <w:autoSpaceDN/>
              <w:adjustRightInd/>
              <w:spacing w:after="0" w:line="240" w:lineRule="auto"/>
              <w:jc w:val="left"/>
              <w:rPr>
                <w:rFonts w:eastAsia="Times New Roman"/>
                <w:b/>
                <w:color w:val="auto"/>
                <w:lang w:eastAsia="fr-FR"/>
              </w:rPr>
            </w:pPr>
          </w:p>
        </w:tc>
        <w:tc>
          <w:tcPr>
            <w:tcW w:w="1509" w:type="pct"/>
            <w:tcBorders>
              <w:top w:val="nil"/>
              <w:left w:val="nil"/>
              <w:bottom w:val="single" w:sz="4" w:space="0" w:color="auto"/>
              <w:right w:val="single" w:sz="4" w:space="0" w:color="auto"/>
            </w:tcBorders>
            <w:shd w:val="clear" w:color="auto" w:fill="auto"/>
            <w:hideMark/>
          </w:tcPr>
          <w:p w:rsidR="00901BD7" w:rsidRPr="00717A2E" w:rsidRDefault="00901BD7" w:rsidP="00E127ED">
            <w:pPr>
              <w:autoSpaceDE/>
              <w:autoSpaceDN/>
              <w:adjustRightInd/>
              <w:spacing w:after="0" w:line="240" w:lineRule="auto"/>
              <w:jc w:val="left"/>
              <w:rPr>
                <w:rFonts w:eastAsia="Times New Roman"/>
                <w:bCs w:val="0"/>
                <w:color w:val="auto"/>
                <w:sz w:val="20"/>
                <w:szCs w:val="20"/>
                <w:lang w:eastAsia="fr-FR"/>
              </w:rPr>
            </w:pPr>
            <w:r w:rsidRPr="00717A2E">
              <w:rPr>
                <w:rFonts w:eastAsia="Times New Roman"/>
                <w:bCs w:val="0"/>
                <w:color w:val="auto"/>
                <w:sz w:val="20"/>
                <w:szCs w:val="20"/>
                <w:lang w:eastAsia="fr-FR"/>
              </w:rPr>
              <w:t>15-49 ans</w:t>
            </w:r>
          </w:p>
        </w:tc>
        <w:tc>
          <w:tcPr>
            <w:tcW w:w="782" w:type="pct"/>
            <w:tcBorders>
              <w:top w:val="nil"/>
              <w:left w:val="nil"/>
              <w:bottom w:val="single" w:sz="4" w:space="0" w:color="auto"/>
              <w:right w:val="single" w:sz="4" w:space="0" w:color="auto"/>
            </w:tcBorders>
            <w:shd w:val="clear" w:color="auto" w:fill="auto"/>
            <w:noWrap/>
            <w:hideMark/>
          </w:tcPr>
          <w:p w:rsidR="00901BD7" w:rsidRPr="00717A2E" w:rsidRDefault="00901BD7" w:rsidP="00E127ED">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 xml:space="preserve"> 145931,82</w:t>
            </w:r>
          </w:p>
        </w:tc>
        <w:tc>
          <w:tcPr>
            <w:tcW w:w="857" w:type="pct"/>
            <w:vMerge/>
            <w:tcBorders>
              <w:top w:val="nil"/>
              <w:left w:val="single" w:sz="4" w:space="0" w:color="auto"/>
              <w:bottom w:val="single" w:sz="4" w:space="0" w:color="000000"/>
              <w:right w:val="single" w:sz="4" w:space="0" w:color="auto"/>
            </w:tcBorders>
            <w:vAlign w:val="center"/>
            <w:hideMark/>
          </w:tcPr>
          <w:p w:rsidR="00901BD7" w:rsidRPr="00717A2E" w:rsidRDefault="00901BD7" w:rsidP="00E127ED">
            <w:pPr>
              <w:autoSpaceDE/>
              <w:autoSpaceDN/>
              <w:adjustRightInd/>
              <w:spacing w:after="0" w:line="240" w:lineRule="auto"/>
              <w:jc w:val="left"/>
              <w:rPr>
                <w:rFonts w:eastAsia="Times New Roman"/>
                <w:bCs w:val="0"/>
                <w:lang w:eastAsia="fr-FR"/>
              </w:rPr>
            </w:pPr>
          </w:p>
        </w:tc>
        <w:tc>
          <w:tcPr>
            <w:tcW w:w="590" w:type="pct"/>
            <w:vMerge/>
            <w:tcBorders>
              <w:top w:val="nil"/>
              <w:left w:val="single" w:sz="4" w:space="0" w:color="auto"/>
              <w:bottom w:val="single" w:sz="4" w:space="0" w:color="000000"/>
              <w:right w:val="single" w:sz="8" w:space="0" w:color="auto"/>
            </w:tcBorders>
            <w:vAlign w:val="center"/>
            <w:hideMark/>
          </w:tcPr>
          <w:p w:rsidR="00901BD7" w:rsidRPr="00717A2E" w:rsidRDefault="00901BD7" w:rsidP="00E127ED">
            <w:pPr>
              <w:autoSpaceDE/>
              <w:autoSpaceDN/>
              <w:adjustRightInd/>
              <w:spacing w:after="0" w:line="240" w:lineRule="auto"/>
              <w:jc w:val="left"/>
              <w:rPr>
                <w:rFonts w:eastAsia="Times New Roman"/>
                <w:bCs w:val="0"/>
                <w:lang w:eastAsia="fr-FR"/>
              </w:rPr>
            </w:pPr>
          </w:p>
        </w:tc>
      </w:tr>
      <w:tr w:rsidR="00901BD7" w:rsidRPr="00717A2E" w:rsidTr="00E127ED">
        <w:trPr>
          <w:trHeight w:val="300"/>
        </w:trPr>
        <w:tc>
          <w:tcPr>
            <w:tcW w:w="1262" w:type="pct"/>
            <w:vMerge/>
            <w:tcBorders>
              <w:top w:val="nil"/>
              <w:left w:val="single" w:sz="8" w:space="0" w:color="auto"/>
              <w:bottom w:val="single" w:sz="4" w:space="0" w:color="000000"/>
              <w:right w:val="single" w:sz="4" w:space="0" w:color="auto"/>
            </w:tcBorders>
            <w:vAlign w:val="center"/>
            <w:hideMark/>
          </w:tcPr>
          <w:p w:rsidR="00901BD7" w:rsidRPr="00717A2E" w:rsidRDefault="00901BD7" w:rsidP="00E127ED">
            <w:pPr>
              <w:autoSpaceDE/>
              <w:autoSpaceDN/>
              <w:adjustRightInd/>
              <w:spacing w:after="0" w:line="240" w:lineRule="auto"/>
              <w:jc w:val="left"/>
              <w:rPr>
                <w:rFonts w:eastAsia="Times New Roman"/>
                <w:b/>
                <w:color w:val="auto"/>
                <w:lang w:eastAsia="fr-FR"/>
              </w:rPr>
            </w:pPr>
          </w:p>
        </w:tc>
        <w:tc>
          <w:tcPr>
            <w:tcW w:w="1509" w:type="pct"/>
            <w:tcBorders>
              <w:top w:val="nil"/>
              <w:left w:val="nil"/>
              <w:bottom w:val="single" w:sz="4" w:space="0" w:color="auto"/>
              <w:right w:val="single" w:sz="4" w:space="0" w:color="auto"/>
            </w:tcBorders>
            <w:shd w:val="clear" w:color="auto" w:fill="auto"/>
            <w:hideMark/>
          </w:tcPr>
          <w:p w:rsidR="00901BD7" w:rsidRPr="00717A2E" w:rsidRDefault="00901BD7" w:rsidP="00E127ED">
            <w:pPr>
              <w:autoSpaceDE/>
              <w:autoSpaceDN/>
              <w:adjustRightInd/>
              <w:spacing w:after="0" w:line="240" w:lineRule="auto"/>
              <w:jc w:val="left"/>
              <w:rPr>
                <w:rFonts w:eastAsia="Times New Roman"/>
                <w:bCs w:val="0"/>
                <w:color w:val="auto"/>
                <w:sz w:val="20"/>
                <w:szCs w:val="20"/>
                <w:lang w:eastAsia="fr-FR"/>
              </w:rPr>
            </w:pPr>
            <w:r w:rsidRPr="00717A2E">
              <w:rPr>
                <w:rFonts w:eastAsia="Times New Roman"/>
                <w:bCs w:val="0"/>
                <w:color w:val="auto"/>
                <w:sz w:val="20"/>
                <w:szCs w:val="20"/>
                <w:lang w:eastAsia="fr-FR"/>
              </w:rPr>
              <w:t>50 ans et plus</w:t>
            </w:r>
          </w:p>
        </w:tc>
        <w:tc>
          <w:tcPr>
            <w:tcW w:w="782" w:type="pct"/>
            <w:tcBorders>
              <w:top w:val="nil"/>
              <w:left w:val="nil"/>
              <w:bottom w:val="single" w:sz="4" w:space="0" w:color="auto"/>
              <w:right w:val="single" w:sz="4" w:space="0" w:color="auto"/>
            </w:tcBorders>
            <w:shd w:val="clear" w:color="auto" w:fill="auto"/>
            <w:noWrap/>
            <w:hideMark/>
          </w:tcPr>
          <w:p w:rsidR="00901BD7" w:rsidRPr="00717A2E" w:rsidRDefault="00901BD7" w:rsidP="00E127ED">
            <w:pPr>
              <w:autoSpaceDE/>
              <w:autoSpaceDN/>
              <w:adjustRightInd/>
              <w:spacing w:after="0" w:line="240" w:lineRule="auto"/>
              <w:jc w:val="right"/>
              <w:rPr>
                <w:rFonts w:eastAsia="Times New Roman"/>
                <w:bCs w:val="0"/>
                <w:color w:val="auto"/>
                <w:sz w:val="20"/>
                <w:szCs w:val="20"/>
                <w:lang w:eastAsia="fr-FR"/>
              </w:rPr>
            </w:pPr>
            <w:r>
              <w:rPr>
                <w:rFonts w:eastAsia="Times New Roman"/>
                <w:bCs w:val="0"/>
                <w:color w:val="auto"/>
                <w:sz w:val="20"/>
                <w:szCs w:val="20"/>
                <w:lang w:eastAsia="fr-FR"/>
              </w:rPr>
              <w:t xml:space="preserve"> 18424,09  </w:t>
            </w:r>
          </w:p>
        </w:tc>
        <w:tc>
          <w:tcPr>
            <w:tcW w:w="857" w:type="pct"/>
            <w:vMerge/>
            <w:tcBorders>
              <w:top w:val="nil"/>
              <w:left w:val="single" w:sz="4" w:space="0" w:color="auto"/>
              <w:bottom w:val="single" w:sz="4" w:space="0" w:color="000000"/>
              <w:right w:val="single" w:sz="4" w:space="0" w:color="auto"/>
            </w:tcBorders>
            <w:vAlign w:val="center"/>
            <w:hideMark/>
          </w:tcPr>
          <w:p w:rsidR="00901BD7" w:rsidRPr="00717A2E" w:rsidRDefault="00901BD7" w:rsidP="00E127ED">
            <w:pPr>
              <w:autoSpaceDE/>
              <w:autoSpaceDN/>
              <w:adjustRightInd/>
              <w:spacing w:after="0" w:line="240" w:lineRule="auto"/>
              <w:jc w:val="left"/>
              <w:rPr>
                <w:rFonts w:eastAsia="Times New Roman"/>
                <w:bCs w:val="0"/>
                <w:lang w:eastAsia="fr-FR"/>
              </w:rPr>
            </w:pPr>
          </w:p>
        </w:tc>
        <w:tc>
          <w:tcPr>
            <w:tcW w:w="590" w:type="pct"/>
            <w:vMerge/>
            <w:tcBorders>
              <w:top w:val="nil"/>
              <w:left w:val="single" w:sz="4" w:space="0" w:color="auto"/>
              <w:bottom w:val="single" w:sz="4" w:space="0" w:color="000000"/>
              <w:right w:val="single" w:sz="8" w:space="0" w:color="auto"/>
            </w:tcBorders>
            <w:vAlign w:val="center"/>
            <w:hideMark/>
          </w:tcPr>
          <w:p w:rsidR="00901BD7" w:rsidRPr="00717A2E" w:rsidRDefault="00901BD7" w:rsidP="00E127ED">
            <w:pPr>
              <w:autoSpaceDE/>
              <w:autoSpaceDN/>
              <w:adjustRightInd/>
              <w:spacing w:after="0" w:line="240" w:lineRule="auto"/>
              <w:jc w:val="left"/>
              <w:rPr>
                <w:rFonts w:eastAsia="Times New Roman"/>
                <w:bCs w:val="0"/>
                <w:lang w:eastAsia="fr-FR"/>
              </w:rPr>
            </w:pPr>
          </w:p>
        </w:tc>
      </w:tr>
      <w:tr w:rsidR="00901BD7" w:rsidRPr="00717A2E" w:rsidTr="00E127ED">
        <w:trPr>
          <w:trHeight w:val="315"/>
        </w:trPr>
        <w:tc>
          <w:tcPr>
            <w:tcW w:w="1262" w:type="pct"/>
            <w:tcBorders>
              <w:top w:val="nil"/>
              <w:left w:val="single" w:sz="8" w:space="0" w:color="auto"/>
              <w:bottom w:val="single" w:sz="8" w:space="0" w:color="auto"/>
              <w:right w:val="single" w:sz="4" w:space="0" w:color="auto"/>
            </w:tcBorders>
            <w:shd w:val="clear" w:color="auto" w:fill="auto"/>
            <w:noWrap/>
            <w:hideMark/>
          </w:tcPr>
          <w:p w:rsidR="00901BD7" w:rsidRPr="00717A2E" w:rsidRDefault="00901BD7" w:rsidP="00E127ED">
            <w:pPr>
              <w:autoSpaceDE/>
              <w:autoSpaceDN/>
              <w:adjustRightInd/>
              <w:spacing w:after="0" w:line="240" w:lineRule="auto"/>
              <w:jc w:val="left"/>
              <w:rPr>
                <w:rFonts w:eastAsia="Times New Roman"/>
                <w:b/>
                <w:color w:val="auto"/>
                <w:lang w:eastAsia="fr-FR"/>
              </w:rPr>
            </w:pPr>
            <w:r w:rsidRPr="00717A2E">
              <w:rPr>
                <w:rFonts w:eastAsia="Times New Roman"/>
                <w:b/>
                <w:color w:val="auto"/>
                <w:sz w:val="22"/>
                <w:szCs w:val="22"/>
                <w:lang w:eastAsia="fr-FR"/>
              </w:rPr>
              <w:t>Total</w:t>
            </w:r>
          </w:p>
        </w:tc>
        <w:tc>
          <w:tcPr>
            <w:tcW w:w="1509" w:type="pct"/>
            <w:tcBorders>
              <w:top w:val="nil"/>
              <w:left w:val="nil"/>
              <w:bottom w:val="single" w:sz="8" w:space="0" w:color="auto"/>
              <w:right w:val="single" w:sz="4" w:space="0" w:color="auto"/>
            </w:tcBorders>
            <w:shd w:val="clear" w:color="auto" w:fill="auto"/>
            <w:noWrap/>
            <w:hideMark/>
          </w:tcPr>
          <w:p w:rsidR="00901BD7" w:rsidRPr="00717A2E" w:rsidRDefault="00901BD7" w:rsidP="00E127ED">
            <w:pPr>
              <w:autoSpaceDE/>
              <w:autoSpaceDN/>
              <w:adjustRightInd/>
              <w:spacing w:after="0" w:line="240" w:lineRule="auto"/>
              <w:jc w:val="left"/>
              <w:rPr>
                <w:rFonts w:eastAsia="Times New Roman"/>
                <w:b/>
                <w:color w:val="auto"/>
                <w:sz w:val="20"/>
                <w:szCs w:val="20"/>
                <w:lang w:eastAsia="fr-FR"/>
              </w:rPr>
            </w:pPr>
            <w:r w:rsidRPr="00717A2E">
              <w:rPr>
                <w:rFonts w:eastAsia="Times New Roman"/>
                <w:b/>
                <w:color w:val="auto"/>
                <w:sz w:val="20"/>
                <w:szCs w:val="20"/>
                <w:lang w:eastAsia="fr-FR"/>
              </w:rPr>
              <w:t> </w:t>
            </w:r>
          </w:p>
        </w:tc>
        <w:tc>
          <w:tcPr>
            <w:tcW w:w="782" w:type="pct"/>
            <w:tcBorders>
              <w:top w:val="nil"/>
              <w:left w:val="nil"/>
              <w:bottom w:val="single" w:sz="8" w:space="0" w:color="auto"/>
              <w:right w:val="single" w:sz="4" w:space="0" w:color="auto"/>
            </w:tcBorders>
            <w:shd w:val="clear" w:color="auto" w:fill="auto"/>
            <w:noWrap/>
            <w:hideMark/>
          </w:tcPr>
          <w:p w:rsidR="00901BD7" w:rsidRPr="00717A2E" w:rsidRDefault="00901BD7" w:rsidP="00E127ED">
            <w:pPr>
              <w:autoSpaceDE/>
              <w:autoSpaceDN/>
              <w:adjustRightInd/>
              <w:spacing w:after="0" w:line="240" w:lineRule="auto"/>
              <w:jc w:val="right"/>
              <w:rPr>
                <w:rFonts w:eastAsia="Times New Roman"/>
                <w:bCs w:val="0"/>
                <w:color w:val="auto"/>
                <w:sz w:val="20"/>
                <w:szCs w:val="20"/>
                <w:lang w:eastAsia="fr-FR"/>
              </w:rPr>
            </w:pPr>
            <w:r w:rsidRPr="00717A2E">
              <w:rPr>
                <w:rFonts w:eastAsia="Times New Roman"/>
                <w:bCs w:val="0"/>
                <w:color w:val="auto"/>
                <w:sz w:val="20"/>
                <w:szCs w:val="20"/>
                <w:lang w:eastAsia="fr-FR"/>
              </w:rPr>
              <w:t>401 924,56</w:t>
            </w:r>
          </w:p>
        </w:tc>
        <w:tc>
          <w:tcPr>
            <w:tcW w:w="857" w:type="pct"/>
            <w:tcBorders>
              <w:top w:val="nil"/>
              <w:left w:val="nil"/>
              <w:bottom w:val="single" w:sz="8" w:space="0" w:color="auto"/>
              <w:right w:val="single" w:sz="4" w:space="0" w:color="auto"/>
            </w:tcBorders>
            <w:shd w:val="clear" w:color="auto" w:fill="auto"/>
            <w:noWrap/>
            <w:vAlign w:val="center"/>
            <w:hideMark/>
          </w:tcPr>
          <w:p w:rsidR="00901BD7" w:rsidRPr="00717A2E" w:rsidRDefault="00901BD7" w:rsidP="00E127ED">
            <w:pPr>
              <w:autoSpaceDE/>
              <w:autoSpaceDN/>
              <w:adjustRightInd/>
              <w:spacing w:after="0" w:line="240" w:lineRule="auto"/>
              <w:jc w:val="center"/>
              <w:rPr>
                <w:rFonts w:eastAsia="Times New Roman"/>
                <w:bCs w:val="0"/>
                <w:lang w:eastAsia="fr-FR"/>
              </w:rPr>
            </w:pPr>
            <w:r w:rsidRPr="00717A2E">
              <w:rPr>
                <w:rFonts w:eastAsia="Times New Roman"/>
                <w:bCs w:val="0"/>
                <w:sz w:val="22"/>
                <w:szCs w:val="22"/>
                <w:lang w:eastAsia="fr-FR"/>
              </w:rPr>
              <w:t xml:space="preserve">401 </w:t>
            </w:r>
            <w:r>
              <w:rPr>
                <w:rFonts w:eastAsia="Times New Roman"/>
                <w:bCs w:val="0"/>
                <w:sz w:val="22"/>
                <w:szCs w:val="22"/>
                <w:lang w:eastAsia="fr-FR"/>
              </w:rPr>
              <w:t>310</w:t>
            </w:r>
            <w:r w:rsidRPr="00717A2E">
              <w:rPr>
                <w:rFonts w:eastAsia="Times New Roman"/>
                <w:bCs w:val="0"/>
                <w:sz w:val="22"/>
                <w:szCs w:val="22"/>
                <w:lang w:eastAsia="fr-FR"/>
              </w:rPr>
              <w:t>,</w:t>
            </w:r>
            <w:r>
              <w:rPr>
                <w:rFonts w:eastAsia="Times New Roman"/>
                <w:bCs w:val="0"/>
                <w:sz w:val="22"/>
                <w:szCs w:val="22"/>
                <w:lang w:eastAsia="fr-FR"/>
              </w:rPr>
              <w:t>38</w:t>
            </w:r>
          </w:p>
        </w:tc>
        <w:tc>
          <w:tcPr>
            <w:tcW w:w="590" w:type="pct"/>
            <w:tcBorders>
              <w:top w:val="nil"/>
              <w:left w:val="nil"/>
              <w:bottom w:val="single" w:sz="8" w:space="0" w:color="auto"/>
              <w:right w:val="single" w:sz="8" w:space="0" w:color="auto"/>
            </w:tcBorders>
            <w:shd w:val="clear" w:color="auto" w:fill="auto"/>
            <w:noWrap/>
            <w:vAlign w:val="bottom"/>
            <w:hideMark/>
          </w:tcPr>
          <w:p w:rsidR="00901BD7" w:rsidRPr="00717A2E" w:rsidRDefault="00901BD7" w:rsidP="00E127ED">
            <w:pPr>
              <w:autoSpaceDE/>
              <w:autoSpaceDN/>
              <w:adjustRightInd/>
              <w:spacing w:after="0" w:line="240" w:lineRule="auto"/>
              <w:jc w:val="center"/>
              <w:rPr>
                <w:rFonts w:eastAsia="Times New Roman"/>
                <w:bCs w:val="0"/>
                <w:lang w:eastAsia="fr-FR"/>
              </w:rPr>
            </w:pPr>
            <w:r w:rsidRPr="00717A2E">
              <w:rPr>
                <w:rFonts w:eastAsia="Times New Roman"/>
                <w:bCs w:val="0"/>
                <w:sz w:val="22"/>
                <w:szCs w:val="22"/>
                <w:lang w:eastAsia="fr-FR"/>
              </w:rPr>
              <w:t>100,00</w:t>
            </w:r>
          </w:p>
        </w:tc>
      </w:tr>
    </w:tbl>
    <w:p w:rsidR="00E7341E" w:rsidRDefault="00E7341E" w:rsidP="00947090">
      <w:pPr>
        <w:spacing w:after="0"/>
        <w:rPr>
          <w:lang w:eastAsia="fr-FR"/>
        </w:rPr>
      </w:pPr>
    </w:p>
    <w:p w:rsidR="00901BD7" w:rsidRDefault="00901BD7" w:rsidP="00901BD7">
      <w:pPr>
        <w:pStyle w:val="Paragraphedeliste"/>
        <w:spacing w:after="0"/>
        <w:rPr>
          <w:lang w:eastAsia="fr-FR"/>
        </w:rPr>
      </w:pPr>
      <w:bookmarkStart w:id="40" w:name="_Toc413941235"/>
    </w:p>
    <w:p w:rsidR="00901BD7" w:rsidRPr="00947090" w:rsidRDefault="00901BD7" w:rsidP="00901BD7">
      <w:pPr>
        <w:spacing w:after="0"/>
        <w:rPr>
          <w:lang w:eastAsia="fr-FR"/>
        </w:rPr>
      </w:pPr>
      <w:r w:rsidRPr="0044670F">
        <w:rPr>
          <w:lang w:eastAsia="fr-FR"/>
        </w:rPr>
        <w:t xml:space="preserve">D’après ce tableau, </w:t>
      </w:r>
      <w:r>
        <w:rPr>
          <w:lang w:eastAsia="fr-FR"/>
        </w:rPr>
        <w:t>les dépenses effectuées pour la santé d</w:t>
      </w:r>
      <w:r w:rsidRPr="0044670F">
        <w:rPr>
          <w:lang w:eastAsia="fr-FR"/>
        </w:rPr>
        <w:t xml:space="preserve">es enfants de moins de 5 ans </w:t>
      </w:r>
      <w:r>
        <w:rPr>
          <w:lang w:eastAsia="fr-FR"/>
        </w:rPr>
        <w:t xml:space="preserve">représentent </w:t>
      </w:r>
      <w:r w:rsidRPr="0044670F">
        <w:rPr>
          <w:lang w:eastAsia="fr-FR"/>
        </w:rPr>
        <w:t xml:space="preserve"> près de 4</w:t>
      </w:r>
      <w:r>
        <w:rPr>
          <w:lang w:eastAsia="fr-FR"/>
        </w:rPr>
        <w:t>3,31</w:t>
      </w:r>
      <w:r w:rsidRPr="0044670F">
        <w:rPr>
          <w:lang w:eastAsia="fr-FR"/>
        </w:rPr>
        <w:t xml:space="preserve"> % des dépenses de santé. Les</w:t>
      </w:r>
      <w:r>
        <w:rPr>
          <w:lang w:eastAsia="fr-FR"/>
        </w:rPr>
        <w:t xml:space="preserve"> autres tranches d’</w:t>
      </w:r>
      <w:r w:rsidRPr="0044670F">
        <w:rPr>
          <w:lang w:eastAsia="fr-FR"/>
        </w:rPr>
        <w:t xml:space="preserve">âges </w:t>
      </w:r>
      <w:r>
        <w:rPr>
          <w:lang w:eastAsia="fr-FR"/>
        </w:rPr>
        <w:t xml:space="preserve"> occupent 56,69</w:t>
      </w:r>
      <w:bookmarkStart w:id="41" w:name="_GoBack"/>
      <w:bookmarkEnd w:id="41"/>
      <w:r>
        <w:rPr>
          <w:lang w:eastAsia="fr-FR"/>
        </w:rPr>
        <w:t>%. Dans ce lot les</w:t>
      </w:r>
      <w:r w:rsidRPr="0044670F">
        <w:rPr>
          <w:lang w:eastAsia="fr-FR"/>
        </w:rPr>
        <w:t xml:space="preserve">15 </w:t>
      </w:r>
      <w:r>
        <w:rPr>
          <w:lang w:eastAsia="fr-FR"/>
        </w:rPr>
        <w:t>-</w:t>
      </w:r>
      <w:r w:rsidRPr="0044670F">
        <w:rPr>
          <w:lang w:eastAsia="fr-FR"/>
        </w:rPr>
        <w:t xml:space="preserve"> 49 ans en bénéficient </w:t>
      </w:r>
      <w:r>
        <w:rPr>
          <w:lang w:eastAsia="fr-FR"/>
        </w:rPr>
        <w:t>64</w:t>
      </w:r>
      <w:r w:rsidRPr="0044670F">
        <w:rPr>
          <w:lang w:eastAsia="fr-FR"/>
        </w:rPr>
        <w:t>,</w:t>
      </w:r>
      <w:r>
        <w:rPr>
          <w:lang w:eastAsia="fr-FR"/>
        </w:rPr>
        <w:t>14</w:t>
      </w:r>
      <w:r w:rsidRPr="0044670F">
        <w:rPr>
          <w:lang w:eastAsia="fr-FR"/>
        </w:rPr>
        <w:t xml:space="preserve"> %. Cette tranche d’âge contient les femmes en âge de procréer qui sont d’importantes consommatrices de services de santé.</w:t>
      </w:r>
    </w:p>
    <w:p w:rsidR="00F15077" w:rsidRPr="00C364BE" w:rsidRDefault="00F15077" w:rsidP="0081780F">
      <w:pPr>
        <w:pStyle w:val="Titre2"/>
        <w:numPr>
          <w:ilvl w:val="1"/>
          <w:numId w:val="37"/>
        </w:numPr>
        <w:rPr>
          <w:bCs w:val="0"/>
        </w:rPr>
      </w:pPr>
      <w:r w:rsidRPr="00C364BE">
        <w:rPr>
          <w:bCs w:val="0"/>
        </w:rPr>
        <w:t xml:space="preserve">Analyse sectorielle des dépenses de santé </w:t>
      </w:r>
      <w:bookmarkEnd w:id="40"/>
      <w:r w:rsidR="001637FA" w:rsidRPr="00C364BE">
        <w:rPr>
          <w:bCs w:val="0"/>
        </w:rPr>
        <w:t>201</w:t>
      </w:r>
      <w:r w:rsidR="001637FA">
        <w:rPr>
          <w:bCs w:val="0"/>
        </w:rPr>
        <w:t>4</w:t>
      </w:r>
    </w:p>
    <w:p w:rsidR="00F15077" w:rsidRPr="0044670F" w:rsidRDefault="00F15077" w:rsidP="0081780F">
      <w:pPr>
        <w:pStyle w:val="Titre3"/>
        <w:numPr>
          <w:ilvl w:val="2"/>
          <w:numId w:val="37"/>
        </w:numPr>
      </w:pPr>
      <w:bookmarkStart w:id="42" w:name="_Toc413941236"/>
      <w:r w:rsidRPr="0044670F">
        <w:t>Evolution du financement du budget alloué au Ministère de la santé</w:t>
      </w:r>
      <w:bookmarkEnd w:id="42"/>
    </w:p>
    <w:p w:rsidR="00D85095" w:rsidRPr="00395A61" w:rsidRDefault="00D85095" w:rsidP="00395A61">
      <w:pPr>
        <w:spacing w:after="0"/>
        <w:rPr>
          <w:sz w:val="22"/>
          <w:highlight w:val="yellow"/>
          <w:lang w:eastAsia="fr-FR"/>
        </w:rPr>
      </w:pPr>
      <w:r w:rsidRPr="0044670F">
        <w:rPr>
          <w:lang w:eastAsia="fr-FR"/>
        </w:rPr>
        <w:t>Les dépenses publiques de santé ont beaucoup augmenté au cours de la dernière décennie en raison de l'amélioration de l'environnement macroéconomique et de la priorité accordée à la santé.</w:t>
      </w:r>
      <w:r w:rsidR="009721AB">
        <w:rPr>
          <w:lang w:eastAsia="fr-FR"/>
        </w:rPr>
        <w:t xml:space="preserve"> </w:t>
      </w:r>
      <w:r w:rsidRPr="0044670F">
        <w:rPr>
          <w:lang w:eastAsia="fr-FR"/>
        </w:rPr>
        <w:t>Ainsi les dépenses de l'Etat (fonction santé</w:t>
      </w:r>
      <w:r w:rsidRPr="0044670F">
        <w:rPr>
          <w:vertAlign w:val="superscript"/>
          <w:lang w:eastAsia="fr-FR"/>
        </w:rPr>
        <w:footnoteReference w:id="3"/>
      </w:r>
      <w:r w:rsidRPr="0044670F">
        <w:rPr>
          <w:lang w:eastAsia="fr-FR"/>
        </w:rPr>
        <w:t>) ont augmenté</w:t>
      </w:r>
      <w:r>
        <w:rPr>
          <w:lang w:eastAsia="fr-FR"/>
        </w:rPr>
        <w:t xml:space="preserve"> courant la période 2014</w:t>
      </w:r>
      <w:r w:rsidRPr="0044670F">
        <w:rPr>
          <w:lang w:eastAsia="fr-FR"/>
        </w:rPr>
        <w:t xml:space="preserve"> passant </w:t>
      </w:r>
      <w:r>
        <w:rPr>
          <w:lang w:eastAsia="fr-FR"/>
        </w:rPr>
        <w:t xml:space="preserve"> de </w:t>
      </w:r>
      <w:r w:rsidRPr="0044670F">
        <w:rPr>
          <w:lang w:eastAsia="fr-FR"/>
        </w:rPr>
        <w:t xml:space="preserve">84,6 milliards de FCFA en </w:t>
      </w:r>
      <w:r>
        <w:rPr>
          <w:lang w:eastAsia="fr-FR"/>
        </w:rPr>
        <w:t>2013 à 105,56milliards.</w:t>
      </w:r>
    </w:p>
    <w:p w:rsidR="00D85095" w:rsidRPr="0044670F" w:rsidRDefault="00D85095" w:rsidP="00395A61">
      <w:pPr>
        <w:spacing w:before="240"/>
        <w:rPr>
          <w:highlight w:val="yellow"/>
          <w:lang w:eastAsia="fr-FR"/>
        </w:rPr>
      </w:pPr>
      <w:r w:rsidRPr="0044670F">
        <w:rPr>
          <w:lang w:eastAsia="fr-FR"/>
        </w:rPr>
        <w:t>La part de ce budget alloué au Ministère de la santé pendant la même période a évolué en dents de scie passant de 49,7 milliards de FCFA en 2006, de 33,6 milliards de FCFA en 2007 à 74,5 milliards de FCFA en 2011</w:t>
      </w:r>
      <w:r>
        <w:rPr>
          <w:lang w:eastAsia="fr-FR"/>
        </w:rPr>
        <w:t>,</w:t>
      </w:r>
      <w:r w:rsidRPr="0044670F">
        <w:rPr>
          <w:lang w:eastAsia="fr-FR"/>
        </w:rPr>
        <w:t xml:space="preserve"> de 29,01 milliards de FCFA en 2012</w:t>
      </w:r>
      <w:r>
        <w:rPr>
          <w:lang w:eastAsia="fr-FR"/>
        </w:rPr>
        <w:t>, et de</w:t>
      </w:r>
      <w:r w:rsidRPr="0044670F">
        <w:rPr>
          <w:lang w:eastAsia="fr-FR"/>
        </w:rPr>
        <w:t xml:space="preserve"> 35,3 milliards de FCFA en 2013</w:t>
      </w:r>
      <w:r>
        <w:rPr>
          <w:lang w:eastAsia="fr-FR"/>
        </w:rPr>
        <w:t xml:space="preserve"> à 49,8</w:t>
      </w:r>
      <w:r w:rsidRPr="0044670F">
        <w:rPr>
          <w:lang w:eastAsia="fr-FR"/>
        </w:rPr>
        <w:t>milliards de FCFA en</w:t>
      </w:r>
      <w:r>
        <w:rPr>
          <w:lang w:eastAsia="fr-FR"/>
        </w:rPr>
        <w:t xml:space="preserve"> 2014</w:t>
      </w:r>
      <w:r w:rsidRPr="0044670F">
        <w:rPr>
          <w:lang w:eastAsia="fr-FR"/>
        </w:rPr>
        <w:t>.</w:t>
      </w:r>
    </w:p>
    <w:p w:rsidR="00D85095" w:rsidRPr="0044670F" w:rsidRDefault="00D85095" w:rsidP="00D85095">
      <w:pPr>
        <w:rPr>
          <w:lang w:eastAsia="fr-FR"/>
        </w:rPr>
      </w:pPr>
      <w:r w:rsidRPr="0044670F">
        <w:rPr>
          <w:lang w:eastAsia="fr-FR"/>
        </w:rPr>
        <w:t xml:space="preserve">Cet effort de l’Etat conjugué à la contribution des autres acteurs de la santé (aide étrangère, collectivités et partenaires locaux) </w:t>
      </w:r>
      <w:r>
        <w:rPr>
          <w:lang w:eastAsia="fr-FR"/>
        </w:rPr>
        <w:t>ont</w:t>
      </w:r>
      <w:r w:rsidRPr="0044670F">
        <w:rPr>
          <w:lang w:eastAsia="fr-FR"/>
        </w:rPr>
        <w:t xml:space="preserve"> permis de relever le niveau des dépenses totales de santé (DTS) par tête d’habitant.</w:t>
      </w:r>
    </w:p>
    <w:p w:rsidR="00D85095" w:rsidRPr="0044670F" w:rsidRDefault="00D85095" w:rsidP="00D85095">
      <w:pPr>
        <w:rPr>
          <w:highlight w:val="yellow"/>
          <w:lang w:eastAsia="fr-FR"/>
        </w:rPr>
      </w:pPr>
      <w:r w:rsidRPr="0044670F">
        <w:rPr>
          <w:lang w:eastAsia="fr-FR"/>
        </w:rPr>
        <w:t>En effet, selon les estimations de l’OMS, les DTS ont fortement augmenté pendant la période du PDDSS, passant de 18 à 38 dollars US par tête d’habitant en dépenses totales et de 6 à 18 dollars US en dépenses de l’administration publique. [</w:t>
      </w:r>
      <w:r w:rsidRPr="0044670F">
        <w:rPr>
          <w:i/>
          <w:lang w:eastAsia="fr-FR"/>
        </w:rPr>
        <w:t>Rapport d’évaluation externe du PDDSS 1998-2007</w:t>
      </w:r>
      <w:r w:rsidRPr="0044670F">
        <w:rPr>
          <w:lang w:eastAsia="fr-FR"/>
        </w:rPr>
        <w:t>] qui est loin des normes de l’OMS qui sont de 54 dollars US par tête.</w:t>
      </w:r>
    </w:p>
    <w:p w:rsidR="00D85095" w:rsidRPr="0044670F" w:rsidRDefault="00D85095" w:rsidP="00D85095">
      <w:pPr>
        <w:rPr>
          <w:lang w:eastAsia="fr-FR"/>
        </w:rPr>
      </w:pPr>
      <w:r w:rsidRPr="0044670F">
        <w:rPr>
          <w:lang w:eastAsia="fr-FR"/>
        </w:rPr>
        <w:t>Néanmoins le niveau des dépenses de santé reste faible. En effet, les allocations du budget d'Etat à la santé soit 12,07% en 2013 n'atteignent ni le niveau prévu dans les cadres de dépenses à moyen terme ni celui des engagements d'Abuja (15% du budget d'Etat alloué à la santé).</w:t>
      </w:r>
    </w:p>
    <w:p w:rsidR="00D85095" w:rsidRPr="0044670F" w:rsidRDefault="00D85095" w:rsidP="00D85095">
      <w:pPr>
        <w:rPr>
          <w:lang w:eastAsia="fr-FR"/>
        </w:rPr>
      </w:pPr>
      <w:r w:rsidRPr="0044670F">
        <w:rPr>
          <w:lang w:eastAsia="fr-FR"/>
        </w:rPr>
        <w:t xml:space="preserve">Cependant, plusieurs chantiers de reformes et d'initiatives de politique ayant des implications importantes sur le financement de la santé dans les prochaines années sont en cours au Mali : les réformes de décentralisation administrative et politique et les initiatives d'exemption de paiement des soins. </w:t>
      </w:r>
    </w:p>
    <w:p w:rsidR="00D85095" w:rsidRDefault="00D85095" w:rsidP="00D85095">
      <w:pPr>
        <w:rPr>
          <w:lang w:eastAsia="fr-FR"/>
        </w:rPr>
      </w:pPr>
      <w:r w:rsidRPr="0044670F">
        <w:rPr>
          <w:lang w:eastAsia="fr-FR"/>
        </w:rPr>
        <w:t>En raison des reformes de décentralisation administrative et politique en cours dans le pays, le secteur public de la santé a désormais une structure verticale où les priorités en matière de santé sont définies et les décisions d'allocation des ressources sont prises à plusieurs niveaux dont l'Etat et les collectivités territoriales (régions, cercles et communes). Ce nouvel environn</w:t>
      </w:r>
      <w:r>
        <w:rPr>
          <w:lang w:eastAsia="fr-FR"/>
        </w:rPr>
        <w:t>em</w:t>
      </w:r>
      <w:r w:rsidRPr="0044670F">
        <w:rPr>
          <w:lang w:eastAsia="fr-FR"/>
        </w:rPr>
        <w:t>ent institutionnel ouvre des opportunités pour accroître la mobilisation et améliorer l'utilisation des ressources dans le secteur de la santé.</w:t>
      </w:r>
    </w:p>
    <w:p w:rsidR="00330D03" w:rsidRPr="005B5631" w:rsidRDefault="00D21BB3" w:rsidP="005B5631">
      <w:pPr>
        <w:pStyle w:val="Lgende"/>
        <w:rPr>
          <w:color w:val="auto"/>
          <w:sz w:val="22"/>
          <w:szCs w:val="22"/>
        </w:rPr>
      </w:pPr>
      <w:bookmarkStart w:id="43" w:name="_Toc483991268"/>
      <w:r w:rsidRPr="005B5631">
        <w:rPr>
          <w:color w:val="auto"/>
          <w:sz w:val="22"/>
          <w:szCs w:val="22"/>
        </w:rPr>
        <w:t xml:space="preserve">Tableau </w:t>
      </w:r>
      <w:r w:rsidR="00E72F8E" w:rsidRPr="005B5631">
        <w:rPr>
          <w:color w:val="auto"/>
          <w:sz w:val="22"/>
          <w:szCs w:val="22"/>
        </w:rPr>
        <w:fldChar w:fldCharType="begin"/>
      </w:r>
      <w:r w:rsidR="009844A2" w:rsidRPr="005B5631">
        <w:rPr>
          <w:color w:val="auto"/>
          <w:sz w:val="22"/>
          <w:szCs w:val="22"/>
        </w:rPr>
        <w:instrText xml:space="preserve"> STYLEREF 2 \s </w:instrText>
      </w:r>
      <w:r w:rsidR="00E72F8E" w:rsidRPr="005B5631">
        <w:rPr>
          <w:color w:val="auto"/>
          <w:sz w:val="22"/>
          <w:szCs w:val="22"/>
        </w:rPr>
        <w:fldChar w:fldCharType="separate"/>
      </w:r>
      <w:r w:rsidR="009844A2" w:rsidRPr="005B5631">
        <w:rPr>
          <w:noProof/>
          <w:color w:val="auto"/>
          <w:sz w:val="22"/>
          <w:szCs w:val="22"/>
        </w:rPr>
        <w:t>3.2</w:t>
      </w:r>
      <w:r w:rsidR="00E72F8E" w:rsidRPr="005B5631">
        <w:rPr>
          <w:color w:val="auto"/>
          <w:sz w:val="22"/>
          <w:szCs w:val="22"/>
        </w:rPr>
        <w:fldChar w:fldCharType="end"/>
      </w:r>
      <w:r w:rsidR="009844A2" w:rsidRPr="005B5631">
        <w:rPr>
          <w:color w:val="auto"/>
          <w:sz w:val="22"/>
          <w:szCs w:val="22"/>
        </w:rPr>
        <w:t>.</w:t>
      </w:r>
      <w:r w:rsidR="00E72F8E" w:rsidRPr="005B5631">
        <w:rPr>
          <w:color w:val="auto"/>
          <w:sz w:val="22"/>
          <w:szCs w:val="22"/>
        </w:rPr>
        <w:fldChar w:fldCharType="begin"/>
      </w:r>
      <w:r w:rsidR="009844A2" w:rsidRPr="005B5631">
        <w:rPr>
          <w:color w:val="auto"/>
          <w:sz w:val="22"/>
          <w:szCs w:val="22"/>
        </w:rPr>
        <w:instrText xml:space="preserve"> SEQ Tableau \* ARABIC \s 2 </w:instrText>
      </w:r>
      <w:r w:rsidR="00E72F8E" w:rsidRPr="005B5631">
        <w:rPr>
          <w:color w:val="auto"/>
          <w:sz w:val="22"/>
          <w:szCs w:val="22"/>
        </w:rPr>
        <w:fldChar w:fldCharType="separate"/>
      </w:r>
      <w:r w:rsidR="009844A2" w:rsidRPr="005B5631">
        <w:rPr>
          <w:noProof/>
          <w:color w:val="auto"/>
          <w:sz w:val="22"/>
          <w:szCs w:val="22"/>
        </w:rPr>
        <w:t>1</w:t>
      </w:r>
      <w:r w:rsidR="00E72F8E" w:rsidRPr="005B5631">
        <w:rPr>
          <w:color w:val="auto"/>
          <w:sz w:val="22"/>
          <w:szCs w:val="22"/>
        </w:rPr>
        <w:fldChar w:fldCharType="end"/>
      </w:r>
      <w:r w:rsidR="00F15077" w:rsidRPr="005B5631">
        <w:rPr>
          <w:b/>
          <w:i w:val="0"/>
          <w:color w:val="auto"/>
          <w:sz w:val="22"/>
          <w:szCs w:val="22"/>
        </w:rPr>
        <w:t> :</w:t>
      </w:r>
      <w:r w:rsidRPr="005B5631">
        <w:rPr>
          <w:color w:val="auto"/>
          <w:sz w:val="22"/>
          <w:szCs w:val="22"/>
        </w:rPr>
        <w:t xml:space="preserve"> E</w:t>
      </w:r>
      <w:r w:rsidR="00F15077" w:rsidRPr="005B5631">
        <w:rPr>
          <w:color w:val="auto"/>
          <w:sz w:val="22"/>
          <w:szCs w:val="22"/>
        </w:rPr>
        <w:t>volution du budget d’Etat alloué à la fonction santé et au Ministère de la Santé</w:t>
      </w:r>
      <w:bookmarkEnd w:id="43"/>
    </w:p>
    <w:tbl>
      <w:tblPr>
        <w:tblW w:w="0" w:type="auto"/>
        <w:tblCellMar>
          <w:left w:w="70" w:type="dxa"/>
          <w:right w:w="70" w:type="dxa"/>
        </w:tblCellMar>
        <w:tblLook w:val="04A0"/>
      </w:tblPr>
      <w:tblGrid>
        <w:gridCol w:w="825"/>
        <w:gridCol w:w="1790"/>
        <w:gridCol w:w="2085"/>
        <w:gridCol w:w="1625"/>
        <w:gridCol w:w="3221"/>
      </w:tblGrid>
      <w:tr w:rsidR="00E22357" w:rsidRPr="00947090" w:rsidTr="0094709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22357" w:rsidRPr="00947090" w:rsidRDefault="00E22357" w:rsidP="00947090">
            <w:pPr>
              <w:spacing w:after="0" w:line="312" w:lineRule="auto"/>
              <w:jc w:val="center"/>
              <w:rPr>
                <w:b/>
                <w:lang w:eastAsia="fr-FR"/>
              </w:rPr>
            </w:pPr>
            <w:r w:rsidRPr="00947090">
              <w:rPr>
                <w:b/>
                <w:sz w:val="22"/>
                <w:szCs w:val="22"/>
                <w:lang w:eastAsia="fr-FR"/>
              </w:rPr>
              <w:t>Années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22357" w:rsidRPr="00947090" w:rsidRDefault="00E22357" w:rsidP="00947090">
            <w:pPr>
              <w:spacing w:after="0" w:line="312" w:lineRule="auto"/>
              <w:jc w:val="center"/>
              <w:rPr>
                <w:b/>
                <w:lang w:eastAsia="fr-FR"/>
              </w:rPr>
            </w:pPr>
            <w:r w:rsidRPr="00947090">
              <w:rPr>
                <w:b/>
                <w:sz w:val="22"/>
                <w:szCs w:val="22"/>
                <w:lang w:eastAsia="fr-FR"/>
              </w:rPr>
              <w:t>Budget d'Etat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22357" w:rsidRPr="00947090" w:rsidRDefault="00E22357" w:rsidP="00947090">
            <w:pPr>
              <w:spacing w:after="0" w:line="312" w:lineRule="auto"/>
              <w:jc w:val="center"/>
              <w:rPr>
                <w:b/>
                <w:lang w:eastAsia="fr-FR"/>
              </w:rPr>
            </w:pPr>
            <w:r w:rsidRPr="00947090">
              <w:rPr>
                <w:b/>
                <w:sz w:val="22"/>
                <w:szCs w:val="22"/>
                <w:lang w:eastAsia="fr-FR"/>
              </w:rPr>
              <w:t>Ministère de la Santé</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22357" w:rsidRPr="00947090" w:rsidRDefault="00E22357" w:rsidP="00947090">
            <w:pPr>
              <w:spacing w:after="0" w:line="312" w:lineRule="auto"/>
              <w:jc w:val="center"/>
              <w:rPr>
                <w:b/>
                <w:lang w:eastAsia="fr-FR"/>
              </w:rPr>
            </w:pPr>
            <w:r w:rsidRPr="00947090">
              <w:rPr>
                <w:b/>
                <w:sz w:val="22"/>
                <w:szCs w:val="22"/>
                <w:lang w:eastAsia="fr-FR"/>
              </w:rPr>
              <w:t>Fonction Santé</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22357" w:rsidRPr="00947090" w:rsidRDefault="00E22357" w:rsidP="00947090">
            <w:pPr>
              <w:spacing w:after="0" w:line="312" w:lineRule="auto"/>
              <w:jc w:val="center"/>
              <w:rPr>
                <w:b/>
                <w:lang w:eastAsia="fr-FR"/>
              </w:rPr>
            </w:pPr>
            <w:r w:rsidRPr="00947090">
              <w:rPr>
                <w:b/>
                <w:sz w:val="22"/>
                <w:szCs w:val="22"/>
                <w:lang w:eastAsia="fr-FR"/>
              </w:rPr>
              <w:t>Ratios Charges Récurrentes Santé</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2004</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787 198 778 000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40 932 494 000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53 436 448 000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10,47</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2005</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850 631 194 000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42 318 305 000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57 099 789 000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10,17</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2006</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935 759 371 000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49 785 000 000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72 684 302 000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10,63</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2007</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994 399 544 000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33 556 471 000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65 307 175 000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10,75</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2008</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1 055 680 132 000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44 521 644 000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78 867 434 000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11,17</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2009</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1 154 813 824 000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53 506 411 000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90 503 138 000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11,27</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2010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1 276 294 430 000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57 849 307 000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96 794 094 000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11,64</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2011</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1 423 744 885 000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74 965 007 000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120 078 239 000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12,08</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2012</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988 605 521 000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29 015 791 000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72 979 278 000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11,37</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2013</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1 482 575 026 000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35 328 791 000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84 634 562 000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12,07</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2014</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1 559 440 392 000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49 766 631 000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105 757 813 000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12,04</w:t>
            </w:r>
          </w:p>
        </w:tc>
      </w:tr>
      <w:tr w:rsidR="00774A91" w:rsidRPr="00947090" w:rsidTr="0094709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b/>
                <w:lang w:eastAsia="fr-FR"/>
              </w:rPr>
            </w:pPr>
            <w:r w:rsidRPr="00947090">
              <w:rPr>
                <w:b/>
                <w:sz w:val="22"/>
                <w:szCs w:val="22"/>
                <w:lang w:eastAsia="fr-FR"/>
              </w:rPr>
              <w:t>2015</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1 785 452 446 000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44 973 213 000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106 091 759 000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947090" w:rsidRDefault="00F15077" w:rsidP="00947090">
            <w:pPr>
              <w:spacing w:after="0" w:line="312" w:lineRule="auto"/>
              <w:jc w:val="center"/>
              <w:rPr>
                <w:lang w:eastAsia="fr-FR"/>
              </w:rPr>
            </w:pPr>
            <w:r w:rsidRPr="00947090">
              <w:rPr>
                <w:sz w:val="22"/>
                <w:szCs w:val="22"/>
                <w:lang w:eastAsia="fr-FR"/>
              </w:rPr>
              <w:t>12,11</w:t>
            </w:r>
          </w:p>
        </w:tc>
      </w:tr>
    </w:tbl>
    <w:p w:rsidR="00F15077" w:rsidRPr="0044670F" w:rsidRDefault="00F15077" w:rsidP="00587784">
      <w:pPr>
        <w:spacing w:line="312" w:lineRule="auto"/>
        <w:rPr>
          <w:lang w:eastAsia="en-US"/>
        </w:rPr>
      </w:pPr>
      <w:r w:rsidRPr="0044670F">
        <w:rPr>
          <w:lang w:eastAsia="en-US"/>
        </w:rPr>
        <w:t>Source :DGB</w:t>
      </w:r>
    </w:p>
    <w:p w:rsidR="00F15077" w:rsidRPr="0044670F" w:rsidRDefault="00F15077" w:rsidP="0081780F">
      <w:pPr>
        <w:pStyle w:val="Titre3"/>
        <w:numPr>
          <w:ilvl w:val="2"/>
          <w:numId w:val="37"/>
        </w:numPr>
      </w:pPr>
      <w:bookmarkStart w:id="44" w:name="_Toc413941237"/>
      <w:r w:rsidRPr="0044670F">
        <w:t>Répartition de l’exécution des dépenses dans le budget  du Ministère de Santé</w:t>
      </w:r>
      <w:bookmarkEnd w:id="44"/>
    </w:p>
    <w:p w:rsidR="0091731C" w:rsidRPr="003F01F3" w:rsidRDefault="0091731C" w:rsidP="0091731C">
      <w:pPr>
        <w:spacing w:after="0" w:line="312" w:lineRule="auto"/>
        <w:rPr>
          <w:lang w:eastAsia="fr-FR"/>
        </w:rPr>
      </w:pPr>
      <w:r w:rsidRPr="0044670F">
        <w:rPr>
          <w:lang w:eastAsia="fr-FR"/>
        </w:rPr>
        <w:t xml:space="preserve">Selon les données présentées par la Direction des Finances et du Matériel (DFM) du Ministère de la Santé et de l’Hygiène Publique, lors du Comité de Suivi du </w:t>
      </w:r>
      <w:r w:rsidRPr="003F01F3">
        <w:rPr>
          <w:lang w:eastAsia="fr-FR"/>
        </w:rPr>
        <w:t>PRODESS du 22février 2016, les dépenses exécutées dans le budget du Ministère de la Santé en 2014 se chiffrent à 105,711 milliards de Francs CFA contre 102,81 milliards de Francs CFA en 2013 soit une augmen</w:t>
      </w:r>
      <w:r w:rsidR="00255B69" w:rsidRPr="003F01F3">
        <w:rPr>
          <w:lang w:eastAsia="fr-FR"/>
        </w:rPr>
        <w:t>ta</w:t>
      </w:r>
      <w:r w:rsidRPr="003F01F3">
        <w:rPr>
          <w:lang w:eastAsia="fr-FR"/>
        </w:rPr>
        <w:t>tion de 2, 897milliards de Francs CFA.</w:t>
      </w:r>
    </w:p>
    <w:p w:rsidR="0091731C" w:rsidRDefault="0091731C" w:rsidP="00452F67">
      <w:pPr>
        <w:spacing w:after="0" w:line="312" w:lineRule="auto"/>
        <w:rPr>
          <w:lang w:eastAsia="fr-FR"/>
        </w:rPr>
      </w:pPr>
      <w:r w:rsidRPr="003F01F3">
        <w:rPr>
          <w:lang w:eastAsia="fr-FR"/>
        </w:rPr>
        <w:t>L’Etat reste  le principal contributeur avec 55,43 milliards de francs CFA représentant 52,43% des dépenses suivis des partenaires avec 28,02%.  Cependant, il faut signaler que la contribution</w:t>
      </w:r>
      <w:r w:rsidRPr="0044670F">
        <w:rPr>
          <w:lang w:eastAsia="fr-FR"/>
        </w:rPr>
        <w:t xml:space="preserve"> des partenaires inclut les dépenses des bailleurs, des ONG nationales et internationales voire de quelques entreprises.</w:t>
      </w:r>
    </w:p>
    <w:p w:rsidR="00F15077" w:rsidRPr="0044670F" w:rsidRDefault="00F15077" w:rsidP="00452F67">
      <w:pPr>
        <w:spacing w:after="0" w:line="312" w:lineRule="auto"/>
        <w:rPr>
          <w:lang w:eastAsia="fr-FR"/>
        </w:rPr>
      </w:pPr>
    </w:p>
    <w:p w:rsidR="00913F93" w:rsidRDefault="00D21BB3" w:rsidP="00FA11DD">
      <w:pPr>
        <w:pStyle w:val="Lgende"/>
        <w:rPr>
          <w:color w:val="000000" w:themeColor="text1"/>
          <w:sz w:val="20"/>
          <w:szCs w:val="20"/>
          <w:lang w:eastAsia="fr-FR"/>
        </w:rPr>
      </w:pPr>
      <w:r w:rsidRPr="00C3017C">
        <w:rPr>
          <w:color w:val="000000" w:themeColor="text1"/>
          <w:sz w:val="20"/>
          <w:szCs w:val="20"/>
          <w:lang w:eastAsia="fr-FR"/>
        </w:rPr>
        <w:t> </w:t>
      </w:r>
      <w:bookmarkStart w:id="45" w:name="_Toc483991269"/>
      <w:r w:rsidR="00744CE7" w:rsidRPr="00C3017C">
        <w:rPr>
          <w:color w:val="000000" w:themeColor="text1"/>
          <w:sz w:val="20"/>
          <w:szCs w:val="20"/>
        </w:rPr>
        <w:t xml:space="preserve">Tableau </w:t>
      </w:r>
      <w:r w:rsidR="00E72F8E">
        <w:rPr>
          <w:color w:val="000000" w:themeColor="text1"/>
          <w:sz w:val="20"/>
          <w:szCs w:val="20"/>
        </w:rPr>
        <w:fldChar w:fldCharType="begin"/>
      </w:r>
      <w:r w:rsidR="009844A2">
        <w:rPr>
          <w:color w:val="000000" w:themeColor="text1"/>
          <w:sz w:val="20"/>
          <w:szCs w:val="20"/>
        </w:rPr>
        <w:instrText xml:space="preserve"> STYLEREF 2 \s </w:instrText>
      </w:r>
      <w:r w:rsidR="00E72F8E">
        <w:rPr>
          <w:color w:val="000000" w:themeColor="text1"/>
          <w:sz w:val="20"/>
          <w:szCs w:val="20"/>
        </w:rPr>
        <w:fldChar w:fldCharType="separate"/>
      </w:r>
      <w:r w:rsidR="009844A2">
        <w:rPr>
          <w:noProof/>
          <w:color w:val="000000" w:themeColor="text1"/>
          <w:sz w:val="20"/>
          <w:szCs w:val="20"/>
        </w:rPr>
        <w:t>3.2</w:t>
      </w:r>
      <w:r w:rsidR="00E72F8E">
        <w:rPr>
          <w:color w:val="000000" w:themeColor="text1"/>
          <w:sz w:val="20"/>
          <w:szCs w:val="20"/>
        </w:rPr>
        <w:fldChar w:fldCharType="end"/>
      </w:r>
      <w:r w:rsidR="009844A2">
        <w:rPr>
          <w:color w:val="000000" w:themeColor="text1"/>
          <w:sz w:val="20"/>
          <w:szCs w:val="20"/>
        </w:rPr>
        <w:t>.</w:t>
      </w:r>
      <w:r w:rsidR="00E72F8E">
        <w:rPr>
          <w:color w:val="000000" w:themeColor="text1"/>
          <w:sz w:val="20"/>
          <w:szCs w:val="20"/>
        </w:rPr>
        <w:fldChar w:fldCharType="begin"/>
      </w:r>
      <w:r w:rsidR="009844A2">
        <w:rPr>
          <w:color w:val="000000" w:themeColor="text1"/>
          <w:sz w:val="20"/>
          <w:szCs w:val="20"/>
        </w:rPr>
        <w:instrText xml:space="preserve"> SEQ Tableau \* ARABIC \s 2 </w:instrText>
      </w:r>
      <w:r w:rsidR="00E72F8E">
        <w:rPr>
          <w:color w:val="000000" w:themeColor="text1"/>
          <w:sz w:val="20"/>
          <w:szCs w:val="20"/>
        </w:rPr>
        <w:fldChar w:fldCharType="separate"/>
      </w:r>
      <w:r w:rsidR="009844A2">
        <w:rPr>
          <w:noProof/>
          <w:color w:val="000000" w:themeColor="text1"/>
          <w:sz w:val="20"/>
          <w:szCs w:val="20"/>
        </w:rPr>
        <w:t>2</w:t>
      </w:r>
      <w:r w:rsidR="00E72F8E">
        <w:rPr>
          <w:color w:val="000000" w:themeColor="text1"/>
          <w:sz w:val="20"/>
          <w:szCs w:val="20"/>
        </w:rPr>
        <w:fldChar w:fldCharType="end"/>
      </w:r>
      <w:r w:rsidRPr="00C3017C">
        <w:rPr>
          <w:color w:val="000000" w:themeColor="text1"/>
          <w:sz w:val="20"/>
          <w:szCs w:val="20"/>
          <w:lang w:eastAsia="fr-FR"/>
        </w:rPr>
        <w:t>: E</w:t>
      </w:r>
      <w:r w:rsidR="00F15077" w:rsidRPr="00C3017C">
        <w:rPr>
          <w:color w:val="000000" w:themeColor="text1"/>
          <w:sz w:val="20"/>
          <w:szCs w:val="20"/>
          <w:lang w:eastAsia="fr-FR"/>
        </w:rPr>
        <w:t xml:space="preserve">xécution du budget du Ministère de la Santé et de l’Hygiène Publique au titre </w:t>
      </w:r>
      <w:r w:rsidR="00446EC0" w:rsidRPr="00C3017C">
        <w:rPr>
          <w:color w:val="000000" w:themeColor="text1"/>
          <w:sz w:val="20"/>
          <w:szCs w:val="20"/>
          <w:lang w:eastAsia="fr-FR"/>
        </w:rPr>
        <w:t xml:space="preserve">de </w:t>
      </w:r>
      <w:r w:rsidR="00F15077" w:rsidRPr="00C3017C">
        <w:rPr>
          <w:color w:val="000000" w:themeColor="text1"/>
          <w:sz w:val="20"/>
          <w:szCs w:val="20"/>
          <w:lang w:eastAsia="fr-FR"/>
        </w:rPr>
        <w:t xml:space="preserve">l’année </w:t>
      </w:r>
      <w:r w:rsidR="001637FA" w:rsidRPr="00C3017C">
        <w:rPr>
          <w:color w:val="000000" w:themeColor="text1"/>
          <w:sz w:val="20"/>
          <w:szCs w:val="20"/>
          <w:lang w:eastAsia="fr-FR"/>
        </w:rPr>
        <w:t>201</w:t>
      </w:r>
      <w:r w:rsidR="001637FA">
        <w:rPr>
          <w:color w:val="000000" w:themeColor="text1"/>
          <w:sz w:val="20"/>
          <w:szCs w:val="20"/>
          <w:lang w:eastAsia="fr-FR"/>
        </w:rPr>
        <w:t>4</w:t>
      </w:r>
      <w:bookmarkEnd w:id="45"/>
    </w:p>
    <w:tbl>
      <w:tblPr>
        <w:tblW w:w="5000" w:type="pct"/>
        <w:tblCellMar>
          <w:left w:w="70" w:type="dxa"/>
          <w:right w:w="70" w:type="dxa"/>
        </w:tblCellMar>
        <w:tblLook w:val="0420"/>
      </w:tblPr>
      <w:tblGrid>
        <w:gridCol w:w="1545"/>
        <w:gridCol w:w="1136"/>
        <w:gridCol w:w="1084"/>
        <w:gridCol w:w="1016"/>
        <w:gridCol w:w="1000"/>
        <w:gridCol w:w="1226"/>
        <w:gridCol w:w="1273"/>
        <w:gridCol w:w="586"/>
        <w:gridCol w:w="680"/>
      </w:tblGrid>
      <w:tr w:rsidR="00271002" w:rsidRPr="00601207" w:rsidTr="00C63457">
        <w:trPr>
          <w:trHeight w:val="780"/>
        </w:trPr>
        <w:tc>
          <w:tcPr>
            <w:tcW w:w="809"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rPr>
                <w:rFonts w:ascii="Arial" w:eastAsia="Times New Roman" w:hAnsi="Arial" w:cs="Arial"/>
                <w:b/>
                <w:sz w:val="20"/>
                <w:szCs w:val="20"/>
                <w:lang w:eastAsia="fr-FR"/>
              </w:rPr>
            </w:pPr>
            <w:r w:rsidRPr="00601207">
              <w:rPr>
                <w:rFonts w:ascii="Arial" w:eastAsia="Times New Roman" w:hAnsi="Arial" w:cs="Arial"/>
                <w:b/>
                <w:sz w:val="20"/>
                <w:szCs w:val="20"/>
                <w:lang w:eastAsia="fr-FR"/>
              </w:rPr>
              <w:t>Acteurs</w:t>
            </w:r>
          </w:p>
        </w:tc>
        <w:tc>
          <w:tcPr>
            <w:tcW w:w="1163" w:type="pct"/>
            <w:gridSpan w:val="2"/>
            <w:tcBorders>
              <w:top w:val="single" w:sz="8" w:space="0" w:color="000000"/>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center"/>
              <w:rPr>
                <w:rFonts w:ascii="Arial" w:eastAsia="Times New Roman" w:hAnsi="Arial" w:cs="Arial"/>
                <w:b/>
                <w:sz w:val="20"/>
                <w:szCs w:val="20"/>
                <w:lang w:eastAsia="fr-FR"/>
              </w:rPr>
            </w:pPr>
            <w:r w:rsidRPr="00601207">
              <w:rPr>
                <w:rFonts w:ascii="Arial" w:eastAsia="Times New Roman" w:hAnsi="Arial" w:cs="Arial"/>
                <w:b/>
                <w:sz w:val="20"/>
                <w:szCs w:val="20"/>
                <w:lang w:eastAsia="fr-FR"/>
              </w:rPr>
              <w:t>Budget prévu</w:t>
            </w:r>
          </w:p>
        </w:tc>
        <w:tc>
          <w:tcPr>
            <w:tcW w:w="1056" w:type="pct"/>
            <w:gridSpan w:val="2"/>
            <w:tcBorders>
              <w:top w:val="single" w:sz="8" w:space="0" w:color="000000"/>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center"/>
              <w:rPr>
                <w:rFonts w:ascii="Arial" w:eastAsia="Times New Roman" w:hAnsi="Arial" w:cs="Arial"/>
                <w:b/>
                <w:sz w:val="20"/>
                <w:szCs w:val="20"/>
                <w:lang w:eastAsia="fr-FR"/>
              </w:rPr>
            </w:pPr>
            <w:r w:rsidRPr="00601207">
              <w:rPr>
                <w:rFonts w:ascii="Arial" w:eastAsia="Times New Roman" w:hAnsi="Arial" w:cs="Arial"/>
                <w:b/>
                <w:sz w:val="20"/>
                <w:szCs w:val="20"/>
                <w:lang w:eastAsia="fr-FR"/>
              </w:rPr>
              <w:t>Montant  reçu</w:t>
            </w:r>
          </w:p>
        </w:tc>
        <w:tc>
          <w:tcPr>
            <w:tcW w:w="1309" w:type="pct"/>
            <w:gridSpan w:val="2"/>
            <w:tcBorders>
              <w:top w:val="single" w:sz="8" w:space="0" w:color="000000"/>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center"/>
              <w:rPr>
                <w:rFonts w:ascii="Arial" w:eastAsia="Times New Roman" w:hAnsi="Arial" w:cs="Arial"/>
                <w:b/>
                <w:sz w:val="20"/>
                <w:szCs w:val="20"/>
                <w:lang w:eastAsia="fr-FR"/>
              </w:rPr>
            </w:pPr>
            <w:r w:rsidRPr="00601207">
              <w:rPr>
                <w:rFonts w:ascii="Arial" w:eastAsia="Times New Roman" w:hAnsi="Arial" w:cs="Arial"/>
                <w:b/>
                <w:sz w:val="20"/>
                <w:szCs w:val="20"/>
                <w:lang w:eastAsia="fr-FR"/>
              </w:rPr>
              <w:t>Dépenses réalisées</w:t>
            </w:r>
          </w:p>
        </w:tc>
        <w:tc>
          <w:tcPr>
            <w:tcW w:w="664" w:type="pct"/>
            <w:gridSpan w:val="2"/>
            <w:tcBorders>
              <w:top w:val="single" w:sz="8" w:space="0" w:color="000000"/>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center"/>
              <w:rPr>
                <w:rFonts w:ascii="Arial" w:eastAsia="Times New Roman" w:hAnsi="Arial" w:cs="Arial"/>
                <w:b/>
                <w:sz w:val="20"/>
                <w:szCs w:val="20"/>
                <w:lang w:eastAsia="fr-FR"/>
              </w:rPr>
            </w:pPr>
            <w:r w:rsidRPr="00601207">
              <w:rPr>
                <w:rFonts w:ascii="Arial" w:eastAsia="Times New Roman" w:hAnsi="Arial" w:cs="Arial"/>
                <w:b/>
                <w:sz w:val="20"/>
                <w:szCs w:val="20"/>
                <w:lang w:eastAsia="fr-FR"/>
              </w:rPr>
              <w:t>Taux d’exécution</w:t>
            </w:r>
          </w:p>
        </w:tc>
      </w:tr>
      <w:tr w:rsidR="00271002" w:rsidRPr="00601207" w:rsidTr="00C63457">
        <w:trPr>
          <w:trHeight w:val="315"/>
        </w:trPr>
        <w:tc>
          <w:tcPr>
            <w:tcW w:w="809" w:type="pct"/>
            <w:tcBorders>
              <w:top w:val="nil"/>
              <w:left w:val="single" w:sz="8" w:space="0" w:color="000000"/>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left"/>
              <w:rPr>
                <w:rFonts w:ascii="Calibri" w:eastAsia="Times New Roman" w:hAnsi="Calibri"/>
                <w:bCs w:val="0"/>
                <w:lang w:eastAsia="fr-FR"/>
              </w:rPr>
            </w:pPr>
            <w:r w:rsidRPr="00601207">
              <w:rPr>
                <w:rFonts w:ascii="Calibri" w:eastAsia="Times New Roman" w:hAnsi="Calibri"/>
                <w:bCs w:val="0"/>
                <w:sz w:val="22"/>
                <w:szCs w:val="22"/>
                <w:lang w:eastAsia="fr-FR"/>
              </w:rPr>
              <w:t> </w:t>
            </w:r>
          </w:p>
        </w:tc>
        <w:tc>
          <w:tcPr>
            <w:tcW w:w="1163" w:type="pct"/>
            <w:gridSpan w:val="2"/>
            <w:tcBorders>
              <w:top w:val="single" w:sz="8" w:space="0" w:color="000000"/>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center"/>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w:t>
            </w:r>
          </w:p>
        </w:tc>
        <w:tc>
          <w:tcPr>
            <w:tcW w:w="1056" w:type="pct"/>
            <w:gridSpan w:val="2"/>
            <w:tcBorders>
              <w:top w:val="single" w:sz="8" w:space="0" w:color="000000"/>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center"/>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w:t>
            </w:r>
          </w:p>
        </w:tc>
        <w:tc>
          <w:tcPr>
            <w:tcW w:w="1309" w:type="pct"/>
            <w:gridSpan w:val="2"/>
            <w:tcBorders>
              <w:top w:val="single" w:sz="8" w:space="0" w:color="000000"/>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center"/>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-3</w:t>
            </w:r>
          </w:p>
        </w:tc>
        <w:tc>
          <w:tcPr>
            <w:tcW w:w="664" w:type="pct"/>
            <w:gridSpan w:val="2"/>
            <w:tcBorders>
              <w:top w:val="single" w:sz="8" w:space="0" w:color="000000"/>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center"/>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(3/2)X100</w:t>
            </w:r>
          </w:p>
        </w:tc>
      </w:tr>
      <w:tr w:rsidR="00255B69" w:rsidRPr="00601207" w:rsidTr="00C63457">
        <w:trPr>
          <w:trHeight w:val="315"/>
        </w:trPr>
        <w:tc>
          <w:tcPr>
            <w:tcW w:w="809" w:type="pct"/>
            <w:tcBorders>
              <w:top w:val="nil"/>
              <w:left w:val="single" w:sz="8" w:space="0" w:color="000000"/>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 </w:t>
            </w:r>
          </w:p>
        </w:tc>
        <w:tc>
          <w:tcPr>
            <w:tcW w:w="595"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2013</w:t>
            </w:r>
          </w:p>
        </w:tc>
        <w:tc>
          <w:tcPr>
            <w:tcW w:w="568"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2014</w:t>
            </w:r>
          </w:p>
        </w:tc>
        <w:tc>
          <w:tcPr>
            <w:tcW w:w="532"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2013</w:t>
            </w:r>
          </w:p>
        </w:tc>
        <w:tc>
          <w:tcPr>
            <w:tcW w:w="524"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2014</w:t>
            </w:r>
          </w:p>
        </w:tc>
        <w:tc>
          <w:tcPr>
            <w:tcW w:w="642"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2013</w:t>
            </w:r>
          </w:p>
        </w:tc>
        <w:tc>
          <w:tcPr>
            <w:tcW w:w="66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2014</w:t>
            </w:r>
          </w:p>
        </w:tc>
        <w:tc>
          <w:tcPr>
            <w:tcW w:w="30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2013</w:t>
            </w:r>
          </w:p>
        </w:tc>
        <w:tc>
          <w:tcPr>
            <w:tcW w:w="35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2014</w:t>
            </w:r>
          </w:p>
        </w:tc>
      </w:tr>
      <w:tr w:rsidR="00255B69" w:rsidRPr="00601207" w:rsidTr="00C63457">
        <w:trPr>
          <w:trHeight w:val="315"/>
        </w:trPr>
        <w:tc>
          <w:tcPr>
            <w:tcW w:w="809" w:type="pct"/>
            <w:tcBorders>
              <w:top w:val="nil"/>
              <w:left w:val="single" w:sz="8" w:space="0" w:color="000000"/>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Etat</w:t>
            </w:r>
          </w:p>
        </w:tc>
        <w:tc>
          <w:tcPr>
            <w:tcW w:w="595"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61 581 449</w:t>
            </w:r>
          </w:p>
        </w:tc>
        <w:tc>
          <w:tcPr>
            <w:tcW w:w="568"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78 892 014</w:t>
            </w:r>
          </w:p>
        </w:tc>
        <w:tc>
          <w:tcPr>
            <w:tcW w:w="532"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54 416 966</w:t>
            </w:r>
          </w:p>
        </w:tc>
        <w:tc>
          <w:tcPr>
            <w:tcW w:w="524"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56 225 281</w:t>
            </w:r>
          </w:p>
        </w:tc>
        <w:tc>
          <w:tcPr>
            <w:tcW w:w="642"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52 524 879</w:t>
            </w:r>
          </w:p>
        </w:tc>
        <w:tc>
          <w:tcPr>
            <w:tcW w:w="66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55 430 213</w:t>
            </w:r>
          </w:p>
        </w:tc>
        <w:tc>
          <w:tcPr>
            <w:tcW w:w="30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97</w:t>
            </w:r>
          </w:p>
        </w:tc>
        <w:tc>
          <w:tcPr>
            <w:tcW w:w="35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99</w:t>
            </w:r>
          </w:p>
        </w:tc>
      </w:tr>
      <w:tr w:rsidR="00255B69" w:rsidRPr="00601207" w:rsidTr="00C63457">
        <w:trPr>
          <w:trHeight w:val="315"/>
        </w:trPr>
        <w:tc>
          <w:tcPr>
            <w:tcW w:w="809" w:type="pct"/>
            <w:tcBorders>
              <w:top w:val="nil"/>
              <w:left w:val="single" w:sz="8" w:space="0" w:color="000000"/>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ABS</w:t>
            </w:r>
          </w:p>
        </w:tc>
        <w:tc>
          <w:tcPr>
            <w:tcW w:w="595"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0</w:t>
            </w:r>
          </w:p>
        </w:tc>
        <w:tc>
          <w:tcPr>
            <w:tcW w:w="568"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693262</w:t>
            </w:r>
          </w:p>
        </w:tc>
        <w:tc>
          <w:tcPr>
            <w:tcW w:w="532"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6 608 792</w:t>
            </w:r>
          </w:p>
        </w:tc>
        <w:tc>
          <w:tcPr>
            <w:tcW w:w="524"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2 565 506</w:t>
            </w:r>
          </w:p>
        </w:tc>
        <w:tc>
          <w:tcPr>
            <w:tcW w:w="642"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6 581 552</w:t>
            </w:r>
          </w:p>
        </w:tc>
        <w:tc>
          <w:tcPr>
            <w:tcW w:w="66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2 540 006</w:t>
            </w:r>
          </w:p>
        </w:tc>
        <w:tc>
          <w:tcPr>
            <w:tcW w:w="30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100</w:t>
            </w:r>
          </w:p>
        </w:tc>
        <w:tc>
          <w:tcPr>
            <w:tcW w:w="35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99</w:t>
            </w:r>
          </w:p>
        </w:tc>
      </w:tr>
      <w:tr w:rsidR="00255B69" w:rsidRPr="00601207" w:rsidTr="00C63457">
        <w:trPr>
          <w:trHeight w:val="525"/>
        </w:trPr>
        <w:tc>
          <w:tcPr>
            <w:tcW w:w="809" w:type="pct"/>
            <w:tcBorders>
              <w:top w:val="nil"/>
              <w:left w:val="single" w:sz="8" w:space="0" w:color="000000"/>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Recouvrements</w:t>
            </w:r>
          </w:p>
        </w:tc>
        <w:tc>
          <w:tcPr>
            <w:tcW w:w="595"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18 761 660</w:t>
            </w:r>
          </w:p>
        </w:tc>
        <w:tc>
          <w:tcPr>
            <w:tcW w:w="568"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16 577 489</w:t>
            </w:r>
          </w:p>
        </w:tc>
        <w:tc>
          <w:tcPr>
            <w:tcW w:w="532"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17 579 502</w:t>
            </w:r>
          </w:p>
        </w:tc>
        <w:tc>
          <w:tcPr>
            <w:tcW w:w="524"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17 383 719</w:t>
            </w:r>
          </w:p>
        </w:tc>
        <w:tc>
          <w:tcPr>
            <w:tcW w:w="642"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17 238 452</w:t>
            </w:r>
          </w:p>
        </w:tc>
        <w:tc>
          <w:tcPr>
            <w:tcW w:w="66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17 254 109</w:t>
            </w:r>
          </w:p>
        </w:tc>
        <w:tc>
          <w:tcPr>
            <w:tcW w:w="30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98</w:t>
            </w:r>
          </w:p>
        </w:tc>
        <w:tc>
          <w:tcPr>
            <w:tcW w:w="35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99</w:t>
            </w:r>
          </w:p>
        </w:tc>
      </w:tr>
      <w:tr w:rsidR="00255B69" w:rsidRPr="00601207" w:rsidTr="00C63457">
        <w:trPr>
          <w:trHeight w:val="525"/>
        </w:trPr>
        <w:tc>
          <w:tcPr>
            <w:tcW w:w="809" w:type="pct"/>
            <w:tcBorders>
              <w:top w:val="nil"/>
              <w:left w:val="single" w:sz="8" w:space="0" w:color="000000"/>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Communautés</w:t>
            </w:r>
          </w:p>
        </w:tc>
        <w:tc>
          <w:tcPr>
            <w:tcW w:w="595"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616 856</w:t>
            </w:r>
          </w:p>
        </w:tc>
        <w:tc>
          <w:tcPr>
            <w:tcW w:w="568"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1 069 947</w:t>
            </w:r>
          </w:p>
        </w:tc>
        <w:tc>
          <w:tcPr>
            <w:tcW w:w="532"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221 690</w:t>
            </w:r>
          </w:p>
        </w:tc>
        <w:tc>
          <w:tcPr>
            <w:tcW w:w="524"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209 385</w:t>
            </w:r>
          </w:p>
        </w:tc>
        <w:tc>
          <w:tcPr>
            <w:tcW w:w="642"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219 304</w:t>
            </w:r>
          </w:p>
        </w:tc>
        <w:tc>
          <w:tcPr>
            <w:tcW w:w="66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207 833</w:t>
            </w:r>
          </w:p>
        </w:tc>
        <w:tc>
          <w:tcPr>
            <w:tcW w:w="30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99</w:t>
            </w:r>
          </w:p>
        </w:tc>
        <w:tc>
          <w:tcPr>
            <w:tcW w:w="35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99</w:t>
            </w:r>
          </w:p>
        </w:tc>
      </w:tr>
      <w:tr w:rsidR="00255B69" w:rsidRPr="00601207" w:rsidTr="00C63457">
        <w:trPr>
          <w:trHeight w:val="315"/>
        </w:trPr>
        <w:tc>
          <w:tcPr>
            <w:tcW w:w="809" w:type="pct"/>
            <w:tcBorders>
              <w:top w:val="nil"/>
              <w:left w:val="single" w:sz="8" w:space="0" w:color="000000"/>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Collectivités</w:t>
            </w:r>
          </w:p>
        </w:tc>
        <w:tc>
          <w:tcPr>
            <w:tcW w:w="595"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2 745 903</w:t>
            </w:r>
          </w:p>
        </w:tc>
        <w:tc>
          <w:tcPr>
            <w:tcW w:w="568"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1 369 538</w:t>
            </w:r>
          </w:p>
        </w:tc>
        <w:tc>
          <w:tcPr>
            <w:tcW w:w="532"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350 669</w:t>
            </w:r>
          </w:p>
        </w:tc>
        <w:tc>
          <w:tcPr>
            <w:tcW w:w="524"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653 875</w:t>
            </w:r>
          </w:p>
        </w:tc>
        <w:tc>
          <w:tcPr>
            <w:tcW w:w="642"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349 992</w:t>
            </w:r>
          </w:p>
        </w:tc>
        <w:tc>
          <w:tcPr>
            <w:tcW w:w="66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657 870</w:t>
            </w:r>
          </w:p>
        </w:tc>
        <w:tc>
          <w:tcPr>
            <w:tcW w:w="30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100</w:t>
            </w:r>
          </w:p>
        </w:tc>
        <w:tc>
          <w:tcPr>
            <w:tcW w:w="35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101</w:t>
            </w:r>
          </w:p>
        </w:tc>
      </w:tr>
      <w:tr w:rsidR="00255B69" w:rsidRPr="00601207" w:rsidTr="00C63457">
        <w:trPr>
          <w:trHeight w:val="315"/>
        </w:trPr>
        <w:tc>
          <w:tcPr>
            <w:tcW w:w="809" w:type="pct"/>
            <w:tcBorders>
              <w:top w:val="nil"/>
              <w:left w:val="single" w:sz="8" w:space="0" w:color="000000"/>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Partenaires</w:t>
            </w:r>
          </w:p>
        </w:tc>
        <w:tc>
          <w:tcPr>
            <w:tcW w:w="595"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119 559 828</w:t>
            </w:r>
          </w:p>
        </w:tc>
        <w:tc>
          <w:tcPr>
            <w:tcW w:w="568"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27 292 098</w:t>
            </w:r>
          </w:p>
        </w:tc>
        <w:tc>
          <w:tcPr>
            <w:tcW w:w="532"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26 130 571</w:t>
            </w:r>
          </w:p>
        </w:tc>
        <w:tc>
          <w:tcPr>
            <w:tcW w:w="524"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30 603 598</w:t>
            </w:r>
          </w:p>
        </w:tc>
        <w:tc>
          <w:tcPr>
            <w:tcW w:w="642"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25 900 466</w:t>
            </w:r>
          </w:p>
        </w:tc>
        <w:tc>
          <w:tcPr>
            <w:tcW w:w="66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29 621 757</w:t>
            </w:r>
          </w:p>
        </w:tc>
        <w:tc>
          <w:tcPr>
            <w:tcW w:w="30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99</w:t>
            </w:r>
          </w:p>
        </w:tc>
        <w:tc>
          <w:tcPr>
            <w:tcW w:w="357" w:type="pct"/>
            <w:tcBorders>
              <w:top w:val="nil"/>
              <w:left w:val="nil"/>
              <w:bottom w:val="single" w:sz="8" w:space="0" w:color="000000"/>
              <w:right w:val="single" w:sz="8" w:space="0" w:color="000000"/>
            </w:tcBorders>
            <w:shd w:val="clear" w:color="000000" w:fill="F0ECF3"/>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97</w:t>
            </w:r>
          </w:p>
        </w:tc>
      </w:tr>
      <w:tr w:rsidR="00255B69" w:rsidRPr="00601207" w:rsidTr="00C63457">
        <w:trPr>
          <w:trHeight w:val="315"/>
        </w:trPr>
        <w:tc>
          <w:tcPr>
            <w:tcW w:w="809" w:type="pct"/>
            <w:tcBorders>
              <w:top w:val="nil"/>
              <w:left w:val="single" w:sz="8" w:space="0" w:color="000000"/>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TOTAL</w:t>
            </w:r>
          </w:p>
        </w:tc>
        <w:tc>
          <w:tcPr>
            <w:tcW w:w="595"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203 265 696</w:t>
            </w:r>
          </w:p>
        </w:tc>
        <w:tc>
          <w:tcPr>
            <w:tcW w:w="568"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125 894 348</w:t>
            </w:r>
          </w:p>
        </w:tc>
        <w:tc>
          <w:tcPr>
            <w:tcW w:w="532"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105 308 190</w:t>
            </w:r>
          </w:p>
        </w:tc>
        <w:tc>
          <w:tcPr>
            <w:tcW w:w="524"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107 641 364</w:t>
            </w:r>
          </w:p>
        </w:tc>
        <w:tc>
          <w:tcPr>
            <w:tcW w:w="642"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102 814 645</w:t>
            </w:r>
          </w:p>
        </w:tc>
        <w:tc>
          <w:tcPr>
            <w:tcW w:w="66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105 711 788</w:t>
            </w:r>
          </w:p>
        </w:tc>
        <w:tc>
          <w:tcPr>
            <w:tcW w:w="30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98</w:t>
            </w:r>
          </w:p>
        </w:tc>
        <w:tc>
          <w:tcPr>
            <w:tcW w:w="357" w:type="pct"/>
            <w:tcBorders>
              <w:top w:val="nil"/>
              <w:left w:val="nil"/>
              <w:bottom w:val="single" w:sz="8" w:space="0" w:color="000000"/>
              <w:right w:val="single" w:sz="8" w:space="0" w:color="000000"/>
            </w:tcBorders>
            <w:shd w:val="clear" w:color="000000" w:fill="FFFFFF"/>
            <w:vAlign w:val="center"/>
            <w:hideMark/>
          </w:tcPr>
          <w:p w:rsidR="00271002" w:rsidRPr="00601207" w:rsidRDefault="00271002" w:rsidP="00873C83">
            <w:pPr>
              <w:autoSpaceDE/>
              <w:autoSpaceDN/>
              <w:adjustRightInd/>
              <w:spacing w:after="0" w:line="240" w:lineRule="auto"/>
              <w:jc w:val="right"/>
              <w:rPr>
                <w:rFonts w:ascii="Arial" w:eastAsia="Times New Roman" w:hAnsi="Arial" w:cs="Arial"/>
                <w:bCs w:val="0"/>
                <w:sz w:val="20"/>
                <w:szCs w:val="20"/>
                <w:lang w:eastAsia="fr-FR"/>
              </w:rPr>
            </w:pPr>
            <w:r w:rsidRPr="00601207">
              <w:rPr>
                <w:rFonts w:ascii="Arial" w:eastAsia="Times New Roman" w:hAnsi="Arial" w:cs="Arial"/>
                <w:bCs w:val="0"/>
                <w:sz w:val="20"/>
                <w:szCs w:val="20"/>
                <w:lang w:eastAsia="fr-FR"/>
              </w:rPr>
              <w:t>99</w:t>
            </w:r>
          </w:p>
        </w:tc>
      </w:tr>
    </w:tbl>
    <w:p w:rsidR="00271002" w:rsidRDefault="00271002" w:rsidP="00C63457">
      <w:pPr>
        <w:spacing w:after="0"/>
        <w:rPr>
          <w:lang w:eastAsia="fr-FR"/>
        </w:rPr>
      </w:pPr>
    </w:p>
    <w:p w:rsidR="00F15077" w:rsidRPr="00744CE7" w:rsidRDefault="00F15077" w:rsidP="0061489F">
      <w:pPr>
        <w:spacing w:line="312" w:lineRule="auto"/>
        <w:rPr>
          <w:i/>
          <w:sz w:val="20"/>
          <w:szCs w:val="20"/>
          <w:lang w:eastAsia="en-US"/>
        </w:rPr>
      </w:pPr>
      <w:r w:rsidRPr="00744CE7">
        <w:rPr>
          <w:b/>
          <w:i/>
          <w:sz w:val="20"/>
          <w:szCs w:val="20"/>
          <w:lang w:eastAsia="fr-FR"/>
        </w:rPr>
        <w:t>Source :</w:t>
      </w:r>
      <w:r w:rsidRPr="00744CE7">
        <w:rPr>
          <w:i/>
          <w:sz w:val="20"/>
          <w:szCs w:val="20"/>
          <w:lang w:eastAsia="fr-FR"/>
        </w:rPr>
        <w:t xml:space="preserve"> Document de la DFM/MSHP du Comité de Suivi du PRODESS du 18/12/2014</w:t>
      </w:r>
    </w:p>
    <w:p w:rsidR="00F15077" w:rsidRPr="0044670F" w:rsidRDefault="00F15077" w:rsidP="0081780F">
      <w:pPr>
        <w:pStyle w:val="Titre3"/>
        <w:numPr>
          <w:ilvl w:val="2"/>
          <w:numId w:val="37"/>
        </w:numPr>
        <w:rPr>
          <w:noProof/>
          <w:lang w:eastAsia="fr-FR"/>
        </w:rPr>
      </w:pPr>
      <w:bookmarkStart w:id="46" w:name="_Toc413941238"/>
      <w:r w:rsidRPr="0044670F">
        <w:rPr>
          <w:noProof/>
          <w:lang w:eastAsia="fr-FR"/>
        </w:rPr>
        <w:t>Participation des autres Ministères aux dépenses de santé</w:t>
      </w:r>
      <w:bookmarkEnd w:id="46"/>
    </w:p>
    <w:p w:rsidR="00F15077" w:rsidRPr="0044670F" w:rsidRDefault="00F15077" w:rsidP="00587784">
      <w:pPr>
        <w:spacing w:line="312" w:lineRule="auto"/>
        <w:rPr>
          <w:lang w:eastAsia="fr-FR"/>
        </w:rPr>
      </w:pPr>
      <w:r w:rsidRPr="0044670F">
        <w:rPr>
          <w:lang w:eastAsia="fr-FR"/>
        </w:rPr>
        <w:t>La contribution des autres Ministères aux dépenses de santé en 201</w:t>
      </w:r>
      <w:r w:rsidR="00910667">
        <w:rPr>
          <w:lang w:eastAsia="fr-FR"/>
        </w:rPr>
        <w:t>4</w:t>
      </w:r>
      <w:r w:rsidRPr="0044670F">
        <w:rPr>
          <w:lang w:eastAsia="fr-FR"/>
        </w:rPr>
        <w:t xml:space="preserve"> s’élève à </w:t>
      </w:r>
      <w:r w:rsidR="00625D22" w:rsidRPr="003F01F3">
        <w:rPr>
          <w:lang w:eastAsia="fr-FR"/>
        </w:rPr>
        <w:t>8,522</w:t>
      </w:r>
      <w:r w:rsidRPr="0044670F">
        <w:rPr>
          <w:lang w:eastAsia="fr-FR"/>
        </w:rPr>
        <w:t> </w:t>
      </w:r>
      <w:r w:rsidR="00CA7817" w:rsidRPr="0044670F">
        <w:rPr>
          <w:lang w:eastAsia="fr-FR"/>
        </w:rPr>
        <w:t>milliards</w:t>
      </w:r>
      <w:r w:rsidRPr="0044670F">
        <w:rPr>
          <w:lang w:eastAsia="fr-FR"/>
        </w:rPr>
        <w:t xml:space="preserve"> francs CFA. Ces dépenses proviennent  essentiellement des allocations de la « fonction santé ». Elles se composent entre autres, des dépenses du Haut Conseil National de Lutte contre le VIH et le SIDA (HCNLS)</w:t>
      </w:r>
      <w:r w:rsidR="00DA0195" w:rsidRPr="0044670F">
        <w:rPr>
          <w:lang w:eastAsia="fr-FR"/>
        </w:rPr>
        <w:t xml:space="preserve"> avec 1,928 milliards de francs CFA soit </w:t>
      </w:r>
      <w:r w:rsidR="00BE6BEE" w:rsidRPr="0044670F">
        <w:rPr>
          <w:lang w:eastAsia="fr-FR"/>
        </w:rPr>
        <w:t>22,62%,</w:t>
      </w:r>
      <w:r w:rsidRPr="0044670F">
        <w:rPr>
          <w:lang w:eastAsia="fr-FR"/>
        </w:rPr>
        <w:t xml:space="preserve"> de la Direction du Service de Santé des Armées (DSSA)et des garnisons militaires dans les régions, de remboursement des frais d’ordonnances des personnes démunies effectuées par le Ministère de la Solidarité.</w:t>
      </w:r>
    </w:p>
    <w:p w:rsidR="004765F3" w:rsidRDefault="00F15077" w:rsidP="00C63457">
      <w:pPr>
        <w:pStyle w:val="Titre3"/>
        <w:numPr>
          <w:ilvl w:val="2"/>
          <w:numId w:val="37"/>
        </w:numPr>
        <w:spacing w:after="0"/>
        <w:rPr>
          <w:noProof/>
          <w:lang w:eastAsia="fr-FR"/>
        </w:rPr>
      </w:pPr>
      <w:bookmarkStart w:id="47" w:name="_Toc413941239"/>
      <w:r w:rsidRPr="0044670F">
        <w:rPr>
          <w:noProof/>
          <w:lang w:eastAsia="fr-FR"/>
        </w:rPr>
        <w:t>Financement de la santé par les collectivités territoriales</w:t>
      </w:r>
      <w:bookmarkEnd w:id="47"/>
    </w:p>
    <w:p w:rsidR="009A28BE" w:rsidRPr="0044670F" w:rsidRDefault="009749FA" w:rsidP="00587784">
      <w:pPr>
        <w:spacing w:line="312" w:lineRule="auto"/>
        <w:rPr>
          <w:lang w:eastAsia="fr-FR"/>
        </w:rPr>
      </w:pPr>
      <w:r w:rsidRPr="0044670F">
        <w:rPr>
          <w:lang w:eastAsia="fr-FR"/>
        </w:rPr>
        <w:t>Le montant mobilisé par les collectivités territoriales pour les dépenses de santé en 201</w:t>
      </w:r>
      <w:r>
        <w:rPr>
          <w:lang w:eastAsia="fr-FR"/>
        </w:rPr>
        <w:t>4</w:t>
      </w:r>
      <w:r w:rsidRPr="0044670F">
        <w:rPr>
          <w:lang w:eastAsia="fr-FR"/>
        </w:rPr>
        <w:t xml:space="preserve"> se chiffre à</w:t>
      </w:r>
      <w:r>
        <w:rPr>
          <w:lang w:eastAsia="fr-FR"/>
        </w:rPr>
        <w:t xml:space="preserve"> 657,870 millions contre</w:t>
      </w:r>
      <w:r w:rsidR="00625D22" w:rsidRPr="00C63457">
        <w:rPr>
          <w:lang w:eastAsia="fr-FR"/>
        </w:rPr>
        <w:t>508,601</w:t>
      </w:r>
      <w:r w:rsidRPr="0044670F">
        <w:rPr>
          <w:lang w:eastAsia="fr-FR"/>
        </w:rPr>
        <w:t xml:space="preserve"> millions de francs CFA</w:t>
      </w:r>
      <w:r>
        <w:rPr>
          <w:lang w:eastAsia="fr-FR"/>
        </w:rPr>
        <w:t xml:space="preserve"> en 2013.On remarque une amélioration de leurs contributions. Cette part des collectivités</w:t>
      </w:r>
      <w:r w:rsidRPr="0044670F">
        <w:rPr>
          <w:lang w:eastAsia="fr-FR"/>
        </w:rPr>
        <w:t xml:space="preserve"> représent</w:t>
      </w:r>
      <w:r>
        <w:rPr>
          <w:lang w:eastAsia="fr-FR"/>
        </w:rPr>
        <w:t>e</w:t>
      </w:r>
      <w:r w:rsidRPr="0044670F">
        <w:rPr>
          <w:lang w:eastAsia="fr-FR"/>
        </w:rPr>
        <w:t>nt 0,1</w:t>
      </w:r>
      <w:r>
        <w:rPr>
          <w:lang w:eastAsia="fr-FR"/>
        </w:rPr>
        <w:t>6</w:t>
      </w:r>
      <w:r w:rsidRPr="0044670F">
        <w:rPr>
          <w:lang w:eastAsia="fr-FR"/>
        </w:rPr>
        <w:t xml:space="preserve">% des dépenses courantes de santé. L’essentiel de ce montant, </w:t>
      </w:r>
      <w:r w:rsidR="00625D22" w:rsidRPr="00C63457">
        <w:rPr>
          <w:lang w:eastAsia="fr-FR"/>
        </w:rPr>
        <w:t>94,20%</w:t>
      </w:r>
      <w:r w:rsidRPr="0044670F">
        <w:rPr>
          <w:lang w:eastAsia="fr-FR"/>
        </w:rPr>
        <w:t xml:space="preserve"> a été dépensé dans les soins curatifs ambulatoires. On note une faible contribution des collectivités dans les dépenses de santé. Cependant, il faut noter que ces dépenses</w:t>
      </w:r>
      <w:r w:rsidR="001D2895">
        <w:rPr>
          <w:lang w:eastAsia="fr-FR"/>
        </w:rPr>
        <w:t xml:space="preserve"> </w:t>
      </w:r>
      <w:r w:rsidRPr="0044670F">
        <w:rPr>
          <w:lang w:eastAsia="fr-FR"/>
        </w:rPr>
        <w:t>représentent uniquement la situation des données des collectivités collectées auprès des structures de santé.</w:t>
      </w:r>
    </w:p>
    <w:p w:rsidR="00F15077" w:rsidRPr="0044670F" w:rsidRDefault="00F15077" w:rsidP="0081780F">
      <w:pPr>
        <w:pStyle w:val="Titre3"/>
        <w:numPr>
          <w:ilvl w:val="2"/>
          <w:numId w:val="37"/>
        </w:numPr>
        <w:rPr>
          <w:noProof/>
          <w:lang w:eastAsia="fr-FR"/>
        </w:rPr>
      </w:pPr>
      <w:bookmarkStart w:id="48" w:name="_Toc413941240"/>
      <w:r w:rsidRPr="0044670F">
        <w:rPr>
          <w:noProof/>
          <w:lang w:eastAsia="fr-FR"/>
        </w:rPr>
        <w:t>Financement de la santé par les entreprises privées et parapubliques</w:t>
      </w:r>
      <w:bookmarkEnd w:id="48"/>
    </w:p>
    <w:p w:rsidR="00F15077" w:rsidRPr="0044670F" w:rsidRDefault="00C64977" w:rsidP="00587784">
      <w:pPr>
        <w:spacing w:line="312" w:lineRule="auto"/>
        <w:rPr>
          <w:lang w:eastAsia="fr-FR"/>
        </w:rPr>
      </w:pPr>
      <w:r w:rsidRPr="0044670F">
        <w:rPr>
          <w:lang w:eastAsia="fr-FR"/>
        </w:rPr>
        <w:t>La contribution des entreprises dans les dépenses de santé en 201</w:t>
      </w:r>
      <w:r>
        <w:rPr>
          <w:lang w:eastAsia="fr-FR"/>
        </w:rPr>
        <w:t>4</w:t>
      </w:r>
      <w:r w:rsidRPr="0044670F">
        <w:rPr>
          <w:lang w:eastAsia="fr-FR"/>
        </w:rPr>
        <w:t xml:space="preserve">, s’élève environ à </w:t>
      </w:r>
      <w:r>
        <w:rPr>
          <w:lang w:eastAsia="fr-FR"/>
        </w:rPr>
        <w:t>4,642</w:t>
      </w:r>
      <w:r w:rsidRPr="0044670F">
        <w:rPr>
          <w:lang w:eastAsia="fr-FR"/>
        </w:rPr>
        <w:t xml:space="preserve"> milliards de francs CFA</w:t>
      </w:r>
      <w:r>
        <w:rPr>
          <w:lang w:eastAsia="fr-FR"/>
        </w:rPr>
        <w:t xml:space="preserve"> contre 1,31 milliards en 2013</w:t>
      </w:r>
      <w:r w:rsidRPr="0044670F">
        <w:rPr>
          <w:lang w:eastAsia="fr-FR"/>
        </w:rPr>
        <w:t>.</w:t>
      </w:r>
      <w:r>
        <w:rPr>
          <w:lang w:eastAsia="fr-FR"/>
        </w:rPr>
        <w:t xml:space="preserve"> Cet important écart s’explique du fait que l’étude a touché plus d’entr</w:t>
      </w:r>
      <w:r w:rsidR="00564F19">
        <w:rPr>
          <w:lang w:eastAsia="fr-FR"/>
        </w:rPr>
        <w:t>e</w:t>
      </w:r>
      <w:r>
        <w:rPr>
          <w:lang w:eastAsia="fr-FR"/>
        </w:rPr>
        <w:t xml:space="preserve">prises en </w:t>
      </w:r>
      <w:r w:rsidR="00F2698B">
        <w:rPr>
          <w:lang w:eastAsia="fr-FR"/>
        </w:rPr>
        <w:t>2014</w:t>
      </w:r>
      <w:r>
        <w:rPr>
          <w:lang w:eastAsia="fr-FR"/>
        </w:rPr>
        <w:t>.Dans c</w:t>
      </w:r>
      <w:r w:rsidRPr="0044670F">
        <w:rPr>
          <w:lang w:eastAsia="fr-FR"/>
        </w:rPr>
        <w:t>es dépenses</w:t>
      </w:r>
      <w:r w:rsidR="00255B69">
        <w:rPr>
          <w:lang w:eastAsia="fr-FR"/>
        </w:rPr>
        <w:t>,</w:t>
      </w:r>
      <w:r w:rsidR="001D2895">
        <w:rPr>
          <w:lang w:eastAsia="fr-FR"/>
        </w:rPr>
        <w:t xml:space="preserve"> </w:t>
      </w:r>
      <w:r>
        <w:rPr>
          <w:lang w:eastAsia="fr-FR"/>
        </w:rPr>
        <w:t>le</w:t>
      </w:r>
      <w:r w:rsidRPr="0044670F">
        <w:rPr>
          <w:lang w:eastAsia="fr-FR"/>
        </w:rPr>
        <w:t xml:space="preserve"> paludisme a été la pathologie la plus consommatrice de ces dépenses avec environ </w:t>
      </w:r>
      <w:r>
        <w:rPr>
          <w:lang w:eastAsia="fr-FR"/>
        </w:rPr>
        <w:t>1,989</w:t>
      </w:r>
      <w:r w:rsidRPr="0044670F">
        <w:rPr>
          <w:lang w:eastAsia="fr-FR"/>
        </w:rPr>
        <w:t xml:space="preserve"> milli</w:t>
      </w:r>
      <w:r>
        <w:rPr>
          <w:lang w:eastAsia="fr-FR"/>
        </w:rPr>
        <w:t>ards</w:t>
      </w:r>
      <w:r w:rsidRPr="0044670F">
        <w:rPr>
          <w:lang w:eastAsia="fr-FR"/>
        </w:rPr>
        <w:t xml:space="preserve"> de francs CFA soit </w:t>
      </w:r>
      <w:r>
        <w:rPr>
          <w:lang w:eastAsia="fr-FR"/>
        </w:rPr>
        <w:t>42</w:t>
      </w:r>
      <w:r w:rsidRPr="0044670F">
        <w:rPr>
          <w:lang w:eastAsia="fr-FR"/>
        </w:rPr>
        <w:t>,</w:t>
      </w:r>
      <w:r>
        <w:rPr>
          <w:lang w:eastAsia="fr-FR"/>
        </w:rPr>
        <w:t>85</w:t>
      </w:r>
      <w:r w:rsidRPr="0044670F">
        <w:rPr>
          <w:lang w:eastAsia="fr-FR"/>
        </w:rPr>
        <w:t>%.</w:t>
      </w:r>
    </w:p>
    <w:p w:rsidR="00F15077" w:rsidRPr="0044670F" w:rsidRDefault="00F15077" w:rsidP="0081780F">
      <w:pPr>
        <w:pStyle w:val="Titre3"/>
        <w:numPr>
          <w:ilvl w:val="2"/>
          <w:numId w:val="37"/>
        </w:numPr>
        <w:rPr>
          <w:noProof/>
          <w:lang w:eastAsia="fr-FR"/>
        </w:rPr>
      </w:pPr>
      <w:bookmarkStart w:id="49" w:name="_Toc413941241"/>
      <w:r w:rsidRPr="0044670F">
        <w:rPr>
          <w:noProof/>
          <w:lang w:eastAsia="fr-FR"/>
        </w:rPr>
        <w:t>Financement de la santé par l’assurance maladie</w:t>
      </w:r>
      <w:bookmarkEnd w:id="49"/>
    </w:p>
    <w:p w:rsidR="00F15077" w:rsidRPr="0044670F" w:rsidRDefault="00F15077" w:rsidP="00587784">
      <w:pPr>
        <w:spacing w:line="312" w:lineRule="auto"/>
        <w:rPr>
          <w:lang w:eastAsia="fr-FR"/>
        </w:rPr>
      </w:pPr>
      <w:r w:rsidRPr="0044670F">
        <w:rPr>
          <w:lang w:eastAsia="fr-FR"/>
        </w:rPr>
        <w:t xml:space="preserve">La part de l’assurance maladie dans les dépenses de santé en </w:t>
      </w:r>
      <w:r w:rsidR="002F12C1" w:rsidRPr="0044670F">
        <w:rPr>
          <w:lang w:eastAsia="fr-FR"/>
        </w:rPr>
        <w:t>201</w:t>
      </w:r>
      <w:r w:rsidR="002F12C1">
        <w:rPr>
          <w:lang w:eastAsia="fr-FR"/>
        </w:rPr>
        <w:t>4</w:t>
      </w:r>
      <w:r w:rsidR="001D2895">
        <w:rPr>
          <w:lang w:eastAsia="fr-FR"/>
        </w:rPr>
        <w:t xml:space="preserve"> </w:t>
      </w:r>
      <w:r w:rsidRPr="0044670F">
        <w:rPr>
          <w:lang w:eastAsia="fr-FR"/>
        </w:rPr>
        <w:t>est de 5</w:t>
      </w:r>
      <w:r w:rsidR="00950C2D" w:rsidRPr="0044670F">
        <w:rPr>
          <w:lang w:eastAsia="fr-FR"/>
        </w:rPr>
        <w:t>,</w:t>
      </w:r>
      <w:r w:rsidRPr="0044670F">
        <w:rPr>
          <w:lang w:eastAsia="fr-FR"/>
        </w:rPr>
        <w:t>622 </w:t>
      </w:r>
      <w:r w:rsidR="00950C2D" w:rsidRPr="0044670F">
        <w:rPr>
          <w:lang w:eastAsia="fr-FR"/>
        </w:rPr>
        <w:t>milliards de</w:t>
      </w:r>
      <w:r w:rsidRPr="0044670F">
        <w:rPr>
          <w:lang w:eastAsia="fr-FR"/>
        </w:rPr>
        <w:t xml:space="preserve"> francs CFA soit 1,66% des dépenses totales. Ces dépenses sont constituées des contributions des régimes d'assurance maladie sociale (Caisse Nationale d'Assurance Maladie) avec 4</w:t>
      </w:r>
      <w:r w:rsidR="00950C2D" w:rsidRPr="0044670F">
        <w:rPr>
          <w:lang w:eastAsia="fr-FR"/>
        </w:rPr>
        <w:t>,</w:t>
      </w:r>
      <w:r w:rsidRPr="0044670F">
        <w:rPr>
          <w:lang w:eastAsia="fr-FR"/>
        </w:rPr>
        <w:t xml:space="preserve">930 </w:t>
      </w:r>
      <w:r w:rsidR="00950C2D" w:rsidRPr="0044670F">
        <w:rPr>
          <w:lang w:eastAsia="fr-FR"/>
        </w:rPr>
        <w:t>milliards</w:t>
      </w:r>
      <w:r w:rsidRPr="0044670F">
        <w:rPr>
          <w:lang w:eastAsia="fr-FR"/>
        </w:rPr>
        <w:t xml:space="preserve"> francs CFA et de l’assurance communautaire (mutuelles de santé) 692</w:t>
      </w:r>
      <w:r w:rsidR="001839AF" w:rsidRPr="0044670F">
        <w:rPr>
          <w:lang w:eastAsia="fr-FR"/>
        </w:rPr>
        <w:t>millions de</w:t>
      </w:r>
      <w:r w:rsidRPr="0044670F">
        <w:rPr>
          <w:lang w:eastAsia="fr-FR"/>
        </w:rPr>
        <w:t xml:space="preserve"> francs CFA.</w:t>
      </w:r>
    </w:p>
    <w:p w:rsidR="00F15077" w:rsidRPr="0044670F" w:rsidRDefault="00F15077" w:rsidP="0081780F">
      <w:pPr>
        <w:pStyle w:val="Titre3"/>
        <w:numPr>
          <w:ilvl w:val="2"/>
          <w:numId w:val="37"/>
        </w:numPr>
        <w:rPr>
          <w:noProof/>
          <w:lang w:eastAsia="fr-FR"/>
        </w:rPr>
      </w:pPr>
      <w:bookmarkStart w:id="50" w:name="_Toc413941242"/>
      <w:r w:rsidRPr="0044670F">
        <w:rPr>
          <w:noProof/>
          <w:lang w:eastAsia="fr-FR"/>
        </w:rPr>
        <w:t>Financement de la santé par les ménages</w:t>
      </w:r>
      <w:bookmarkEnd w:id="50"/>
    </w:p>
    <w:p w:rsidR="00F15077" w:rsidRPr="0044670F" w:rsidRDefault="00F15077" w:rsidP="00587784">
      <w:pPr>
        <w:spacing w:line="312" w:lineRule="auto"/>
        <w:rPr>
          <w:lang w:eastAsia="fr-FR"/>
        </w:rPr>
      </w:pPr>
      <w:r w:rsidRPr="0044670F">
        <w:rPr>
          <w:lang w:eastAsia="fr-FR"/>
        </w:rPr>
        <w:t xml:space="preserve">En </w:t>
      </w:r>
      <w:r w:rsidR="00086975" w:rsidRPr="0044670F">
        <w:rPr>
          <w:lang w:eastAsia="fr-FR"/>
        </w:rPr>
        <w:t>201</w:t>
      </w:r>
      <w:r w:rsidR="00086975">
        <w:rPr>
          <w:lang w:eastAsia="fr-FR"/>
        </w:rPr>
        <w:t>4</w:t>
      </w:r>
      <w:r w:rsidRPr="0044670F">
        <w:rPr>
          <w:lang w:eastAsia="fr-FR"/>
        </w:rPr>
        <w:t xml:space="preserve">, la participation des ménages dans les </w:t>
      </w:r>
      <w:r w:rsidR="00272013" w:rsidRPr="0044670F">
        <w:rPr>
          <w:lang w:eastAsia="fr-FR"/>
        </w:rPr>
        <w:t xml:space="preserve">dépenses de santé s’élève à </w:t>
      </w:r>
      <w:r w:rsidR="006F32D4">
        <w:rPr>
          <w:rFonts w:eastAsia="Times New Roman"/>
          <w:bCs w:val="0"/>
          <w:color w:val="auto"/>
          <w:sz w:val="20"/>
          <w:szCs w:val="20"/>
          <w:lang w:eastAsia="fr-FR"/>
        </w:rPr>
        <w:t xml:space="preserve">189, 034 </w:t>
      </w:r>
      <w:r w:rsidR="00272013" w:rsidRPr="0044670F">
        <w:rPr>
          <w:lang w:eastAsia="fr-FR"/>
        </w:rPr>
        <w:t>milliards de</w:t>
      </w:r>
      <w:r w:rsidRPr="0044670F">
        <w:rPr>
          <w:lang w:eastAsia="fr-FR"/>
        </w:rPr>
        <w:t xml:space="preserve"> francs CFA soit </w:t>
      </w:r>
      <w:r w:rsidR="00525561">
        <w:rPr>
          <w:lang w:eastAsia="fr-FR"/>
        </w:rPr>
        <w:t xml:space="preserve"> 45,84</w:t>
      </w:r>
      <w:r w:rsidRPr="0044670F">
        <w:rPr>
          <w:lang w:eastAsia="fr-FR"/>
        </w:rPr>
        <w:t xml:space="preserve">% des dépenses totales de santé. Ce montant inclut les paiements directs et les dépenses effectuées par les mécanismes assuranciels. Malgré l’avènement de l’Assurance Maladie Obligatoire (AMO) et d’autres mécanismes assuranciels (mutuelles, assurances privées, assurances volontaires, …) dans le système de financement de la santé, les paiements directs des ménages restent encore très élevés. Les paiements directs représentent </w:t>
      </w:r>
      <w:r w:rsidR="002362C3">
        <w:rPr>
          <w:lang w:eastAsia="fr-FR"/>
        </w:rPr>
        <w:t xml:space="preserve"> 100</w:t>
      </w:r>
      <w:r w:rsidRPr="0044670F">
        <w:rPr>
          <w:lang w:eastAsia="fr-FR"/>
        </w:rPr>
        <w:t xml:space="preserve">% des dépenses totales des ménages. Les soins curatifs avec </w:t>
      </w:r>
      <w:r w:rsidR="00C11A63">
        <w:rPr>
          <w:lang w:eastAsia="fr-FR"/>
        </w:rPr>
        <w:t>2585,51</w:t>
      </w:r>
      <w:r w:rsidRPr="0044670F">
        <w:rPr>
          <w:lang w:eastAsia="fr-FR"/>
        </w:rPr>
        <w:t> </w:t>
      </w:r>
      <w:r w:rsidR="00272013" w:rsidRPr="0044670F">
        <w:rPr>
          <w:lang w:eastAsia="fr-FR"/>
        </w:rPr>
        <w:t>milliards de</w:t>
      </w:r>
      <w:r w:rsidRPr="0044670F">
        <w:rPr>
          <w:lang w:eastAsia="fr-FR"/>
        </w:rPr>
        <w:t xml:space="preserve"> francs CFA soit </w:t>
      </w:r>
      <w:r w:rsidR="00C11A63">
        <w:rPr>
          <w:lang w:eastAsia="fr-FR"/>
        </w:rPr>
        <w:t xml:space="preserve"> 83,25</w:t>
      </w:r>
      <w:r w:rsidRPr="0044670F">
        <w:rPr>
          <w:lang w:eastAsia="fr-FR"/>
        </w:rPr>
        <w:t xml:space="preserve">% constituent la principale fonction dans ces dépenses de paiements directs des ménages. </w:t>
      </w:r>
    </w:p>
    <w:p w:rsidR="00F15077" w:rsidRPr="0081780F" w:rsidRDefault="00E72F8E" w:rsidP="0081780F">
      <w:pPr>
        <w:pStyle w:val="Titre3"/>
        <w:numPr>
          <w:ilvl w:val="2"/>
          <w:numId w:val="37"/>
        </w:numPr>
        <w:rPr>
          <w:noProof/>
          <w:lang w:eastAsia="fr-FR"/>
        </w:rPr>
      </w:pPr>
      <w:hyperlink w:anchor="_Toc224702729" w:history="1">
        <w:bookmarkStart w:id="51" w:name="_Toc413941243"/>
        <w:r w:rsidR="00F15077" w:rsidRPr="0081780F">
          <w:rPr>
            <w:noProof/>
            <w:lang w:eastAsia="fr-FR"/>
          </w:rPr>
          <w:t xml:space="preserve">Financement de la santé par les </w:t>
        </w:r>
        <w:r w:rsidR="00CD1183" w:rsidRPr="0081780F">
          <w:rPr>
            <w:noProof/>
            <w:lang w:eastAsia="fr-FR"/>
          </w:rPr>
          <w:t>Organisations Non Gouvernementales</w:t>
        </w:r>
        <w:bookmarkEnd w:id="51"/>
      </w:hyperlink>
    </w:p>
    <w:p w:rsidR="00B7765B" w:rsidRPr="0044670F" w:rsidRDefault="00C64977" w:rsidP="00587784">
      <w:pPr>
        <w:spacing w:line="312" w:lineRule="auto"/>
        <w:rPr>
          <w:lang w:eastAsia="fr-FR"/>
        </w:rPr>
      </w:pPr>
      <w:r w:rsidRPr="0044670F">
        <w:rPr>
          <w:lang w:eastAsia="fr-FR"/>
        </w:rPr>
        <w:t>Les</w:t>
      </w:r>
      <w:r w:rsidR="001D2895">
        <w:rPr>
          <w:lang w:eastAsia="fr-FR"/>
        </w:rPr>
        <w:t xml:space="preserve"> </w:t>
      </w:r>
      <w:r w:rsidRPr="0044670F">
        <w:rPr>
          <w:lang w:eastAsia="fr-FR"/>
        </w:rPr>
        <w:t xml:space="preserve">ONG ont </w:t>
      </w:r>
      <w:r>
        <w:rPr>
          <w:lang w:eastAsia="fr-FR"/>
        </w:rPr>
        <w:t xml:space="preserve">géré pour la sante </w:t>
      </w:r>
      <w:r w:rsidR="00E36C44">
        <w:rPr>
          <w:lang w:eastAsia="fr-FR"/>
        </w:rPr>
        <w:t xml:space="preserve"> 10</w:t>
      </w:r>
      <w:r w:rsidR="009943E4">
        <w:rPr>
          <w:lang w:eastAsia="fr-FR"/>
        </w:rPr>
        <w:t>3</w:t>
      </w:r>
      <w:r w:rsidR="00E36C44">
        <w:rPr>
          <w:lang w:eastAsia="fr-FR"/>
        </w:rPr>
        <w:t>,</w:t>
      </w:r>
      <w:r w:rsidR="009943E4">
        <w:rPr>
          <w:lang w:eastAsia="fr-FR"/>
        </w:rPr>
        <w:t>92</w:t>
      </w:r>
      <w:r>
        <w:rPr>
          <w:lang w:eastAsia="fr-FR"/>
        </w:rPr>
        <w:t xml:space="preserve"> milliards de francs CFA en 2014.</w:t>
      </w:r>
      <w:r w:rsidRPr="0044670F">
        <w:rPr>
          <w:lang w:eastAsia="fr-FR"/>
        </w:rPr>
        <w:t xml:space="preserve"> Les </w:t>
      </w:r>
      <w:r>
        <w:rPr>
          <w:lang w:eastAsia="fr-FR"/>
        </w:rPr>
        <w:t>fonds gérés par les</w:t>
      </w:r>
      <w:r w:rsidRPr="0044670F">
        <w:rPr>
          <w:lang w:eastAsia="fr-FR"/>
        </w:rPr>
        <w:t xml:space="preserve"> ONG ont été essentiellement orientées vers </w:t>
      </w:r>
      <w:r>
        <w:rPr>
          <w:lang w:eastAsia="fr-FR"/>
        </w:rPr>
        <w:t xml:space="preserve">les maladies infectieuses avec </w:t>
      </w:r>
      <w:r w:rsidR="00134DC0">
        <w:rPr>
          <w:lang w:eastAsia="fr-FR"/>
        </w:rPr>
        <w:t>39</w:t>
      </w:r>
      <w:r>
        <w:rPr>
          <w:lang w:eastAsia="fr-FR"/>
        </w:rPr>
        <w:t xml:space="preserve">, </w:t>
      </w:r>
      <w:r w:rsidR="00134DC0">
        <w:rPr>
          <w:lang w:eastAsia="fr-FR"/>
        </w:rPr>
        <w:t xml:space="preserve">781 </w:t>
      </w:r>
      <w:r>
        <w:rPr>
          <w:lang w:eastAsia="fr-FR"/>
        </w:rPr>
        <w:t>milliard</w:t>
      </w:r>
      <w:r w:rsidR="00E36C44">
        <w:rPr>
          <w:lang w:eastAsia="fr-FR"/>
        </w:rPr>
        <w:t>s</w:t>
      </w:r>
      <w:r>
        <w:rPr>
          <w:lang w:eastAsia="fr-FR"/>
        </w:rPr>
        <w:t xml:space="preserve"> soit </w:t>
      </w:r>
      <w:r w:rsidR="00134DC0">
        <w:rPr>
          <w:lang w:eastAsia="fr-FR"/>
        </w:rPr>
        <w:t>38</w:t>
      </w:r>
      <w:r>
        <w:rPr>
          <w:lang w:eastAsia="fr-FR"/>
        </w:rPr>
        <w:t>,</w:t>
      </w:r>
      <w:r w:rsidR="00134DC0">
        <w:rPr>
          <w:lang w:eastAsia="fr-FR"/>
        </w:rPr>
        <w:t>3</w:t>
      </w:r>
      <w:r>
        <w:rPr>
          <w:lang w:eastAsia="fr-FR"/>
        </w:rPr>
        <w:t xml:space="preserve">% suivi de la carence nutritionnelle avec </w:t>
      </w:r>
      <w:r w:rsidR="008D3723">
        <w:rPr>
          <w:lang w:eastAsia="fr-FR"/>
        </w:rPr>
        <w:t>37</w:t>
      </w:r>
      <w:r>
        <w:rPr>
          <w:lang w:eastAsia="fr-FR"/>
        </w:rPr>
        <w:t>,</w:t>
      </w:r>
      <w:r w:rsidR="008D3723">
        <w:rPr>
          <w:lang w:eastAsia="fr-FR"/>
        </w:rPr>
        <w:t xml:space="preserve">592 </w:t>
      </w:r>
      <w:r>
        <w:rPr>
          <w:lang w:eastAsia="fr-FR"/>
        </w:rPr>
        <w:t xml:space="preserve">milliard soit </w:t>
      </w:r>
      <w:r w:rsidR="008D3723">
        <w:rPr>
          <w:lang w:eastAsia="fr-FR"/>
        </w:rPr>
        <w:t>36</w:t>
      </w:r>
      <w:r>
        <w:rPr>
          <w:lang w:eastAsia="fr-FR"/>
        </w:rPr>
        <w:t xml:space="preserve">, </w:t>
      </w:r>
      <w:r w:rsidR="008D3723">
        <w:rPr>
          <w:lang w:eastAsia="fr-FR"/>
        </w:rPr>
        <w:t>17</w:t>
      </w:r>
      <w:r>
        <w:rPr>
          <w:lang w:eastAsia="fr-FR"/>
        </w:rPr>
        <w:t xml:space="preserve">%, la santé de la reproduction avec </w:t>
      </w:r>
      <w:r w:rsidR="008D3723">
        <w:rPr>
          <w:lang w:eastAsia="fr-FR"/>
        </w:rPr>
        <w:t>25</w:t>
      </w:r>
      <w:r>
        <w:rPr>
          <w:lang w:eastAsia="fr-FR"/>
        </w:rPr>
        <w:t>,</w:t>
      </w:r>
      <w:r w:rsidR="008D3723">
        <w:rPr>
          <w:lang w:eastAsia="fr-FR"/>
        </w:rPr>
        <w:t xml:space="preserve">276 </w:t>
      </w:r>
      <w:r>
        <w:rPr>
          <w:lang w:eastAsia="fr-FR"/>
        </w:rPr>
        <w:t xml:space="preserve">milliards francs CFA soit </w:t>
      </w:r>
      <w:r w:rsidR="008D3723">
        <w:rPr>
          <w:lang w:eastAsia="fr-FR"/>
        </w:rPr>
        <w:t>24</w:t>
      </w:r>
      <w:r>
        <w:rPr>
          <w:lang w:eastAsia="fr-FR"/>
        </w:rPr>
        <w:t>,</w:t>
      </w:r>
      <w:r w:rsidR="008D3723">
        <w:rPr>
          <w:lang w:eastAsia="fr-FR"/>
        </w:rPr>
        <w:t>32</w:t>
      </w:r>
      <w:r>
        <w:rPr>
          <w:lang w:eastAsia="fr-FR"/>
        </w:rPr>
        <w:t>%</w:t>
      </w:r>
      <w:r w:rsidR="00C63457">
        <w:rPr>
          <w:lang w:eastAsia="fr-FR"/>
        </w:rPr>
        <w:t>.</w:t>
      </w:r>
    </w:p>
    <w:p w:rsidR="00CD1183" w:rsidRPr="00D04E78" w:rsidRDefault="006E2F4C" w:rsidP="00FE3B63">
      <w:pPr>
        <w:pStyle w:val="Titre2"/>
        <w:numPr>
          <w:ilvl w:val="1"/>
          <w:numId w:val="37"/>
        </w:numPr>
      </w:pPr>
      <w:bookmarkStart w:id="52" w:name="_Toc413941244"/>
      <w:r w:rsidRPr="00D04E78">
        <w:t xml:space="preserve">Calcul des principaux indicateurs de financement de la santé </w:t>
      </w:r>
      <w:bookmarkEnd w:id="52"/>
      <w:r w:rsidR="001637FA" w:rsidRPr="00D04E78">
        <w:t>201</w:t>
      </w:r>
      <w:r w:rsidR="001637FA">
        <w:t>4</w:t>
      </w:r>
    </w:p>
    <w:p w:rsidR="00E22357" w:rsidRPr="00452F67" w:rsidRDefault="00EA2F93" w:rsidP="00452F67">
      <w:pPr>
        <w:spacing w:line="312" w:lineRule="auto"/>
      </w:pPr>
      <w:r w:rsidRPr="0044670F">
        <w:t>L</w:t>
      </w:r>
      <w:r w:rsidR="00CD1183" w:rsidRPr="0044670F">
        <w:t xml:space="preserve">e tableau </w:t>
      </w:r>
      <w:r w:rsidR="00C3017C" w:rsidRPr="00C3017C">
        <w:t>3.3.1</w:t>
      </w:r>
      <w:r w:rsidR="00CD1183" w:rsidRPr="0044670F">
        <w:t>présente la liste des indicateurs retenus par l’UEMOA</w:t>
      </w:r>
      <w:r w:rsidRPr="0044670F">
        <w:t>.</w:t>
      </w:r>
    </w:p>
    <w:p w:rsidR="00FA370A" w:rsidRPr="00744CE7" w:rsidRDefault="00744CE7" w:rsidP="00744CE7">
      <w:pPr>
        <w:pStyle w:val="Lgende"/>
        <w:rPr>
          <w:color w:val="000000" w:themeColor="text1"/>
          <w:sz w:val="22"/>
          <w:szCs w:val="22"/>
        </w:rPr>
      </w:pPr>
      <w:bookmarkStart w:id="53" w:name="_Toc483991270"/>
      <w:r w:rsidRPr="00744CE7">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3.3</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1</w:t>
      </w:r>
      <w:r w:rsidR="00E72F8E">
        <w:rPr>
          <w:color w:val="000000" w:themeColor="text1"/>
          <w:sz w:val="22"/>
          <w:szCs w:val="22"/>
        </w:rPr>
        <w:fldChar w:fldCharType="end"/>
      </w:r>
      <w:r w:rsidRPr="00744CE7">
        <w:rPr>
          <w:color w:val="000000" w:themeColor="text1"/>
          <w:sz w:val="22"/>
          <w:szCs w:val="22"/>
        </w:rPr>
        <w:t> :</w:t>
      </w:r>
      <w:r w:rsidR="00C3017C">
        <w:rPr>
          <w:color w:val="000000" w:themeColor="text1"/>
          <w:sz w:val="22"/>
          <w:szCs w:val="22"/>
        </w:rPr>
        <w:t xml:space="preserve"> I</w:t>
      </w:r>
      <w:r w:rsidRPr="00744CE7">
        <w:rPr>
          <w:color w:val="000000" w:themeColor="text1"/>
          <w:sz w:val="22"/>
          <w:szCs w:val="22"/>
        </w:rPr>
        <w:t xml:space="preserve">ndicateurs </w:t>
      </w:r>
      <w:r w:rsidR="00C3017C">
        <w:rPr>
          <w:color w:val="000000" w:themeColor="text1"/>
          <w:sz w:val="22"/>
          <w:szCs w:val="22"/>
        </w:rPr>
        <w:t xml:space="preserve">de comparaison internationale </w:t>
      </w:r>
      <w:r w:rsidRPr="00744CE7">
        <w:rPr>
          <w:color w:val="000000" w:themeColor="text1"/>
          <w:sz w:val="22"/>
          <w:szCs w:val="22"/>
        </w:rPr>
        <w:t>de l’UEMOA</w:t>
      </w:r>
      <w:bookmarkEnd w:id="53"/>
    </w:p>
    <w:tbl>
      <w:tblPr>
        <w:tblW w:w="5000" w:type="pct"/>
        <w:tblCellMar>
          <w:left w:w="70" w:type="dxa"/>
          <w:right w:w="70" w:type="dxa"/>
        </w:tblCellMar>
        <w:tblLook w:val="04A0"/>
      </w:tblPr>
      <w:tblGrid>
        <w:gridCol w:w="6400"/>
        <w:gridCol w:w="3146"/>
      </w:tblGrid>
      <w:tr w:rsidR="00FA370A" w:rsidRPr="00FA370A" w:rsidTr="00FA370A">
        <w:trPr>
          <w:trHeight w:val="20"/>
        </w:trPr>
        <w:tc>
          <w:tcPr>
            <w:tcW w:w="2892" w:type="pct"/>
            <w:tcBorders>
              <w:top w:val="single" w:sz="8" w:space="0" w:color="auto"/>
              <w:left w:val="single" w:sz="8" w:space="0" w:color="auto"/>
              <w:bottom w:val="single" w:sz="8" w:space="0" w:color="auto"/>
              <w:right w:val="single" w:sz="8" w:space="0" w:color="auto"/>
            </w:tcBorders>
            <w:shd w:val="clear" w:color="000000" w:fill="4BACC6"/>
            <w:noWrap/>
            <w:vAlign w:val="center"/>
            <w:hideMark/>
          </w:tcPr>
          <w:p w:rsidR="00FA370A" w:rsidRPr="00FA370A" w:rsidRDefault="00FA370A" w:rsidP="00FA370A">
            <w:pPr>
              <w:autoSpaceDE/>
              <w:autoSpaceDN/>
              <w:adjustRightInd/>
              <w:spacing w:after="0" w:line="240" w:lineRule="auto"/>
              <w:rPr>
                <w:rFonts w:ascii="Arial" w:eastAsia="Times New Roman" w:hAnsi="Arial" w:cs="Arial"/>
                <w:b/>
                <w:sz w:val="20"/>
                <w:szCs w:val="20"/>
                <w:lang w:eastAsia="fr-FR"/>
              </w:rPr>
            </w:pPr>
            <w:r w:rsidRPr="00FA370A">
              <w:rPr>
                <w:rFonts w:ascii="Arial" w:eastAsia="Times New Roman" w:hAnsi="Arial" w:cs="Arial"/>
                <w:b/>
                <w:sz w:val="20"/>
                <w:szCs w:val="20"/>
                <w:lang w:eastAsia="fr-FR"/>
              </w:rPr>
              <w:t>Indicateurs</w:t>
            </w:r>
          </w:p>
        </w:tc>
        <w:tc>
          <w:tcPr>
            <w:tcW w:w="2108" w:type="pct"/>
            <w:tcBorders>
              <w:top w:val="single" w:sz="8" w:space="0" w:color="auto"/>
              <w:left w:val="nil"/>
              <w:bottom w:val="single" w:sz="8" w:space="0" w:color="auto"/>
              <w:right w:val="single" w:sz="8" w:space="0" w:color="auto"/>
            </w:tcBorders>
            <w:shd w:val="clear" w:color="000000" w:fill="4BACC6"/>
            <w:noWrap/>
            <w:vAlign w:val="center"/>
            <w:hideMark/>
          </w:tcPr>
          <w:p w:rsidR="00FA370A" w:rsidRPr="00FA370A" w:rsidRDefault="00FA370A" w:rsidP="00F2698B">
            <w:pPr>
              <w:autoSpaceDE/>
              <w:autoSpaceDN/>
              <w:adjustRightInd/>
              <w:spacing w:after="0" w:line="240" w:lineRule="auto"/>
              <w:rPr>
                <w:rFonts w:ascii="Arial" w:eastAsia="Times New Roman" w:hAnsi="Arial" w:cs="Arial"/>
                <w:b/>
                <w:sz w:val="20"/>
                <w:szCs w:val="20"/>
                <w:lang w:eastAsia="fr-FR"/>
              </w:rPr>
            </w:pPr>
            <w:r w:rsidRPr="00FA370A">
              <w:rPr>
                <w:rFonts w:ascii="Arial" w:eastAsia="Times New Roman" w:hAnsi="Arial" w:cs="Arial"/>
                <w:b/>
                <w:sz w:val="20"/>
                <w:szCs w:val="20"/>
                <w:lang w:eastAsia="fr-FR"/>
              </w:rPr>
              <w:t xml:space="preserve">Valeur en </w:t>
            </w:r>
            <w:r w:rsidR="00F2698B" w:rsidRPr="00FA370A">
              <w:rPr>
                <w:rFonts w:ascii="Arial" w:eastAsia="Times New Roman" w:hAnsi="Arial" w:cs="Arial"/>
                <w:b/>
                <w:sz w:val="20"/>
                <w:szCs w:val="20"/>
                <w:lang w:eastAsia="fr-FR"/>
              </w:rPr>
              <w:t>201</w:t>
            </w:r>
            <w:r w:rsidR="00F2698B">
              <w:rPr>
                <w:rFonts w:ascii="Arial" w:eastAsia="Times New Roman" w:hAnsi="Arial" w:cs="Arial"/>
                <w:b/>
                <w:sz w:val="20"/>
                <w:szCs w:val="20"/>
                <w:lang w:eastAsia="fr-FR"/>
              </w:rPr>
              <w:t>4</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PIB (en millions de FCFA)</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FA370A" w:rsidP="00FA370A">
            <w:pPr>
              <w:autoSpaceDE/>
              <w:autoSpaceDN/>
              <w:adjustRightInd/>
              <w:spacing w:after="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5 406 145</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Population (en millions)</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DB3FE0" w:rsidP="00FA370A">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17,3</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courantes de santé (en millions de FCFA)          </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DB3FE0" w:rsidP="00FA370A">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401310</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d'investissement de santé (en millions de FCFA)          </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DB3FE0" w:rsidP="00DB3FE0">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26366</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totales de santé (en millions de FCFA)          </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DB3FE0" w:rsidP="00FA370A">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 xml:space="preserve"> 427676</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des ménages (en millions de FCFA)          </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11042B" w:rsidP="0011042B">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189034</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publiques de santé (en millions de FCFA)          </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FA370A" w:rsidP="00FA370A">
            <w:pPr>
              <w:autoSpaceDE/>
              <w:autoSpaceDN/>
              <w:adjustRightInd/>
              <w:spacing w:after="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156 757</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soins curatifs (en millions de FCFA)</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11042B" w:rsidP="00FA370A">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235491</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soins préventifs (en millions de FCFA)</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11042B" w:rsidP="00FA370A">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85953</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médicaments (en millions de FCFA)</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10F66" w:rsidP="00F10F66">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155792,11</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de santé par habitant (en FCFA)          </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1675D8" w:rsidP="00FA370A">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24721</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de santé en % du PIB     </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6,7</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santé des ménages en % des dépenses totales de santé</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11042B" w:rsidP="00FA370A">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47,3</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soins préventifs en % des dépenses totales de Santé</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11042B" w:rsidP="00FA370A">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24,1</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soins curatifs en % des dépenses totales de santé</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11042B" w:rsidP="00FA370A">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58,69</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FA370A">
            <w:pPr>
              <w:autoSpaceDE/>
              <w:autoSpaceDN/>
              <w:adjustRightInd/>
              <w:spacing w:after="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médicaments en % des dépenses totales de santé</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10F66" w:rsidP="00F10F66">
            <w:pPr>
              <w:autoSpaceDE/>
              <w:autoSpaceDN/>
              <w:adjustRightInd/>
              <w:spacing w:after="0" w:line="240" w:lineRule="auto"/>
              <w:jc w:val="right"/>
              <w:rPr>
                <w:rFonts w:ascii="Arial" w:eastAsia="Times New Roman" w:hAnsi="Arial" w:cs="Arial"/>
                <w:bCs w:val="0"/>
                <w:sz w:val="20"/>
                <w:szCs w:val="20"/>
                <w:lang w:eastAsia="fr-FR"/>
              </w:rPr>
            </w:pPr>
            <w:r>
              <w:rPr>
                <w:rFonts w:ascii="Arial" w:eastAsia="Times New Roman" w:hAnsi="Arial" w:cs="Arial"/>
                <w:bCs w:val="0"/>
                <w:sz w:val="20"/>
                <w:szCs w:val="20"/>
                <w:lang w:eastAsia="fr-FR"/>
              </w:rPr>
              <w:t>38</w:t>
            </w:r>
            <w:r w:rsidR="00FA370A" w:rsidRPr="00FA370A">
              <w:rPr>
                <w:rFonts w:ascii="Arial" w:eastAsia="Times New Roman" w:hAnsi="Arial" w:cs="Arial"/>
                <w:bCs w:val="0"/>
                <w:sz w:val="20"/>
                <w:szCs w:val="20"/>
                <w:lang w:eastAsia="fr-FR"/>
              </w:rPr>
              <w:t>,</w:t>
            </w:r>
            <w:r>
              <w:rPr>
                <w:rFonts w:ascii="Arial" w:eastAsia="Times New Roman" w:hAnsi="Arial" w:cs="Arial"/>
                <w:bCs w:val="0"/>
                <w:sz w:val="20"/>
                <w:szCs w:val="20"/>
                <w:lang w:eastAsia="fr-FR"/>
              </w:rPr>
              <w:t>82</w:t>
            </w:r>
          </w:p>
        </w:tc>
      </w:tr>
    </w:tbl>
    <w:p w:rsidR="00EA2F93" w:rsidRPr="00744CE7" w:rsidRDefault="00EA2F93" w:rsidP="00744CE7">
      <w:pPr>
        <w:pStyle w:val="Lgende"/>
        <w:rPr>
          <w:color w:val="000000" w:themeColor="text1"/>
          <w:sz w:val="22"/>
          <w:szCs w:val="22"/>
        </w:rPr>
      </w:pPr>
    </w:p>
    <w:p w:rsidR="00BB0E69" w:rsidRPr="00C65AC4" w:rsidRDefault="00BB0E69" w:rsidP="00FE3B63">
      <w:pPr>
        <w:pStyle w:val="Titre2"/>
        <w:numPr>
          <w:ilvl w:val="1"/>
          <w:numId w:val="37"/>
        </w:numPr>
        <w:spacing w:line="360" w:lineRule="auto"/>
      </w:pPr>
      <w:bookmarkStart w:id="54" w:name="_Toc413941245"/>
      <w:r w:rsidRPr="00C65AC4">
        <w:t>Résultats des dépenses sur la formation brute de capital</w:t>
      </w:r>
      <w:bookmarkEnd w:id="54"/>
    </w:p>
    <w:p w:rsidR="00BB0E69" w:rsidRPr="00C65AC4" w:rsidRDefault="00BB0E69" w:rsidP="00587784">
      <w:pPr>
        <w:spacing w:line="312" w:lineRule="auto"/>
        <w:rPr>
          <w:rFonts w:eastAsia="Times New Roman"/>
          <w:lang w:eastAsia="fr-FR"/>
        </w:rPr>
      </w:pPr>
      <w:r w:rsidRPr="00C65AC4">
        <w:rPr>
          <w:lang w:eastAsia="en-US"/>
        </w:rPr>
        <w:t>Les dépenses en investissement de la santé en 201</w:t>
      </w:r>
      <w:r w:rsidR="00E56494">
        <w:rPr>
          <w:lang w:eastAsia="en-US"/>
        </w:rPr>
        <w:t>4</w:t>
      </w:r>
      <w:r w:rsidR="00C31716">
        <w:rPr>
          <w:lang w:eastAsia="en-US"/>
        </w:rPr>
        <w:t xml:space="preserve"> s’élèvent </w:t>
      </w:r>
      <w:r w:rsidRPr="00C65AC4">
        <w:rPr>
          <w:lang w:eastAsia="en-US"/>
        </w:rPr>
        <w:t xml:space="preserve">à </w:t>
      </w:r>
      <w:r w:rsidR="00F10F66">
        <w:rPr>
          <w:lang w:eastAsia="en-US"/>
        </w:rPr>
        <w:t>26</w:t>
      </w:r>
      <w:r w:rsidRPr="00C65AC4">
        <w:rPr>
          <w:lang w:eastAsia="en-US"/>
        </w:rPr>
        <w:t>,</w:t>
      </w:r>
      <w:r w:rsidR="00F10F66">
        <w:rPr>
          <w:lang w:eastAsia="en-US"/>
        </w:rPr>
        <w:t>366</w:t>
      </w:r>
      <w:r w:rsidRPr="00C65AC4">
        <w:rPr>
          <w:lang w:eastAsia="en-US"/>
        </w:rPr>
        <w:t xml:space="preserve">milliards de francs CFA soit </w:t>
      </w:r>
      <w:r w:rsidR="00E42119">
        <w:rPr>
          <w:lang w:eastAsia="en-US"/>
        </w:rPr>
        <w:t>6</w:t>
      </w:r>
      <w:r w:rsidR="00E56494">
        <w:rPr>
          <w:lang w:eastAsia="en-US"/>
        </w:rPr>
        <w:t>,</w:t>
      </w:r>
      <w:r w:rsidR="00E42119">
        <w:rPr>
          <w:lang w:eastAsia="en-US"/>
        </w:rPr>
        <w:t xml:space="preserve">16 </w:t>
      </w:r>
      <w:r w:rsidRPr="00C65AC4">
        <w:rPr>
          <w:lang w:eastAsia="en-US"/>
        </w:rPr>
        <w:t xml:space="preserve">% des dépenses totales de santé. </w:t>
      </w:r>
      <w:r w:rsidR="00E56494">
        <w:rPr>
          <w:lang w:eastAsia="en-US"/>
        </w:rPr>
        <w:t xml:space="preserve">La formation brute de capital fixe </w:t>
      </w:r>
      <w:r w:rsidR="0037028C">
        <w:rPr>
          <w:lang w:eastAsia="en-US"/>
        </w:rPr>
        <w:t>représente</w:t>
      </w:r>
      <w:r w:rsidR="00E56494">
        <w:rPr>
          <w:lang w:eastAsia="en-US"/>
        </w:rPr>
        <w:t xml:space="preserve"> plus de </w:t>
      </w:r>
      <w:r w:rsidR="00557A9C">
        <w:rPr>
          <w:lang w:eastAsia="en-US"/>
        </w:rPr>
        <w:t>95</w:t>
      </w:r>
      <w:r w:rsidR="00E56494">
        <w:rPr>
          <w:lang w:eastAsia="en-US"/>
        </w:rPr>
        <w:t xml:space="preserve">% des dépenses d’investissement. </w:t>
      </w:r>
      <w:r w:rsidRPr="00C65AC4">
        <w:rPr>
          <w:lang w:eastAsia="en-US"/>
        </w:rPr>
        <w:t xml:space="preserve">Les </w:t>
      </w:r>
      <w:r w:rsidR="00D369D1">
        <w:rPr>
          <w:lang w:eastAsia="en-US"/>
        </w:rPr>
        <w:t xml:space="preserve">machines </w:t>
      </w:r>
      <w:r w:rsidR="00E42119">
        <w:rPr>
          <w:lang w:eastAsia="en-US"/>
        </w:rPr>
        <w:t xml:space="preserve">et </w:t>
      </w:r>
      <w:r w:rsidR="00E42119" w:rsidRPr="00C65AC4">
        <w:rPr>
          <w:lang w:eastAsia="en-US"/>
        </w:rPr>
        <w:t xml:space="preserve">équipements </w:t>
      </w:r>
      <w:r w:rsidR="00557A9C" w:rsidRPr="00C65AC4">
        <w:rPr>
          <w:lang w:eastAsia="en-US"/>
        </w:rPr>
        <w:t xml:space="preserve">et les </w:t>
      </w:r>
      <w:r w:rsidR="00E42119">
        <w:rPr>
          <w:lang w:eastAsia="en-US"/>
        </w:rPr>
        <w:t xml:space="preserve">infrastructures </w:t>
      </w:r>
      <w:r w:rsidRPr="00C65AC4">
        <w:rPr>
          <w:lang w:eastAsia="en-US"/>
        </w:rPr>
        <w:t xml:space="preserve">ont constitué respectivement </w:t>
      </w:r>
      <w:r w:rsidR="00557A9C">
        <w:rPr>
          <w:lang w:eastAsia="en-US"/>
        </w:rPr>
        <w:t>94,22</w:t>
      </w:r>
      <w:r w:rsidRPr="00C65AC4">
        <w:rPr>
          <w:lang w:eastAsia="en-US"/>
        </w:rPr>
        <w:t xml:space="preserve">% et </w:t>
      </w:r>
      <w:r w:rsidR="00557A9C">
        <w:rPr>
          <w:lang w:eastAsia="en-US"/>
        </w:rPr>
        <w:t>5</w:t>
      </w:r>
      <w:r w:rsidR="00E42119">
        <w:rPr>
          <w:lang w:eastAsia="en-US"/>
        </w:rPr>
        <w:t>,</w:t>
      </w:r>
      <w:r w:rsidR="00557A9C">
        <w:rPr>
          <w:lang w:eastAsia="en-US"/>
        </w:rPr>
        <w:t>78</w:t>
      </w:r>
      <w:r w:rsidRPr="00C65AC4">
        <w:rPr>
          <w:lang w:eastAsia="en-US"/>
        </w:rPr>
        <w:t xml:space="preserve">%. </w:t>
      </w:r>
    </w:p>
    <w:p w:rsidR="00BB0E69" w:rsidRDefault="00C3017C" w:rsidP="00C3017C">
      <w:pPr>
        <w:pStyle w:val="Lgende"/>
        <w:rPr>
          <w:color w:val="000000" w:themeColor="text1"/>
          <w:sz w:val="22"/>
          <w:szCs w:val="22"/>
          <w:lang w:eastAsia="fr-FR"/>
        </w:rPr>
      </w:pPr>
      <w:bookmarkStart w:id="55" w:name="_Toc483991271"/>
      <w:r w:rsidRPr="00C3017C">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3.4</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1</w:t>
      </w:r>
      <w:r w:rsidR="00E72F8E">
        <w:rPr>
          <w:color w:val="000000" w:themeColor="text1"/>
          <w:sz w:val="22"/>
          <w:szCs w:val="22"/>
        </w:rPr>
        <w:fldChar w:fldCharType="end"/>
      </w:r>
      <w:r w:rsidR="00BB0E69" w:rsidRPr="00C3017C">
        <w:rPr>
          <w:color w:val="000000" w:themeColor="text1"/>
          <w:sz w:val="22"/>
          <w:szCs w:val="22"/>
          <w:lang w:eastAsia="fr-FR"/>
        </w:rPr>
        <w:t> : Répartition des dépenses de formation brute de capital par rubrique d’investissement</w:t>
      </w:r>
      <w:bookmarkEnd w:id="55"/>
    </w:p>
    <w:tbl>
      <w:tblPr>
        <w:tblW w:w="5000" w:type="pct"/>
        <w:tblCellMar>
          <w:left w:w="70" w:type="dxa"/>
          <w:right w:w="70" w:type="dxa"/>
        </w:tblCellMar>
        <w:tblLook w:val="04A0"/>
      </w:tblPr>
      <w:tblGrid>
        <w:gridCol w:w="4529"/>
        <w:gridCol w:w="3847"/>
        <w:gridCol w:w="1170"/>
      </w:tblGrid>
      <w:tr w:rsidR="00924358" w:rsidRPr="00924358" w:rsidTr="00B32172">
        <w:trPr>
          <w:trHeight w:val="570"/>
        </w:trPr>
        <w:tc>
          <w:tcPr>
            <w:tcW w:w="237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924358" w:rsidRPr="00924358" w:rsidRDefault="00924358" w:rsidP="00750033">
            <w:pPr>
              <w:autoSpaceDE/>
              <w:autoSpaceDN/>
              <w:adjustRightInd/>
              <w:spacing w:before="240" w:after="0" w:line="240" w:lineRule="auto"/>
              <w:rPr>
                <w:rFonts w:eastAsia="Times New Roman"/>
                <w:b/>
                <w:lang w:eastAsia="fr-FR"/>
              </w:rPr>
            </w:pPr>
            <w:r w:rsidRPr="00924358">
              <w:rPr>
                <w:rFonts w:eastAsia="Times New Roman"/>
                <w:b/>
                <w:sz w:val="22"/>
                <w:szCs w:val="22"/>
                <w:lang w:eastAsia="fr-FR"/>
              </w:rPr>
              <w:t> Rubrique d’investissement</w:t>
            </w:r>
          </w:p>
        </w:tc>
        <w:tc>
          <w:tcPr>
            <w:tcW w:w="2015" w:type="pct"/>
            <w:tcBorders>
              <w:top w:val="single" w:sz="8" w:space="0" w:color="auto"/>
              <w:left w:val="nil"/>
              <w:bottom w:val="single" w:sz="4" w:space="0" w:color="auto"/>
              <w:right w:val="single" w:sz="4" w:space="0" w:color="auto"/>
            </w:tcBorders>
            <w:shd w:val="clear" w:color="auto" w:fill="auto"/>
            <w:vAlign w:val="center"/>
            <w:hideMark/>
          </w:tcPr>
          <w:p w:rsidR="00266DAB" w:rsidRDefault="00924358" w:rsidP="00750033">
            <w:pPr>
              <w:autoSpaceDE/>
              <w:autoSpaceDN/>
              <w:adjustRightInd/>
              <w:spacing w:before="240" w:after="0" w:line="240" w:lineRule="auto"/>
              <w:jc w:val="center"/>
              <w:rPr>
                <w:rFonts w:eastAsia="Times New Roman"/>
                <w:b/>
                <w:lang w:eastAsia="fr-FR"/>
              </w:rPr>
            </w:pPr>
            <w:r w:rsidRPr="00924358">
              <w:rPr>
                <w:rFonts w:eastAsia="Times New Roman"/>
                <w:b/>
                <w:sz w:val="22"/>
                <w:szCs w:val="22"/>
                <w:lang w:eastAsia="fr-FR"/>
              </w:rPr>
              <w:t>Dépenses</w:t>
            </w:r>
            <w:r>
              <w:rPr>
                <w:rFonts w:eastAsia="Times New Roman"/>
                <w:b/>
                <w:sz w:val="22"/>
                <w:szCs w:val="22"/>
                <w:lang w:eastAsia="fr-FR"/>
              </w:rPr>
              <w:t xml:space="preserve"> (en million de FCFA)</w:t>
            </w:r>
          </w:p>
        </w:tc>
        <w:tc>
          <w:tcPr>
            <w:tcW w:w="613" w:type="pct"/>
            <w:tcBorders>
              <w:top w:val="single" w:sz="8" w:space="0" w:color="auto"/>
              <w:left w:val="nil"/>
              <w:bottom w:val="single" w:sz="4" w:space="0" w:color="auto"/>
              <w:right w:val="single" w:sz="8" w:space="0" w:color="auto"/>
            </w:tcBorders>
            <w:shd w:val="clear" w:color="auto" w:fill="auto"/>
            <w:vAlign w:val="center"/>
            <w:hideMark/>
          </w:tcPr>
          <w:p w:rsidR="00924358" w:rsidRPr="00924358" w:rsidRDefault="00924358" w:rsidP="00750033">
            <w:pPr>
              <w:autoSpaceDE/>
              <w:autoSpaceDN/>
              <w:adjustRightInd/>
              <w:spacing w:before="240" w:after="0" w:line="240" w:lineRule="auto"/>
              <w:jc w:val="center"/>
              <w:rPr>
                <w:rFonts w:eastAsia="Times New Roman"/>
                <w:b/>
                <w:lang w:eastAsia="fr-FR"/>
              </w:rPr>
            </w:pPr>
            <w:r w:rsidRPr="00924358">
              <w:rPr>
                <w:rFonts w:eastAsia="Times New Roman"/>
                <w:b/>
                <w:sz w:val="22"/>
                <w:szCs w:val="22"/>
                <w:lang w:eastAsia="fr-FR"/>
              </w:rPr>
              <w:t>%</w:t>
            </w:r>
          </w:p>
        </w:tc>
      </w:tr>
      <w:tr w:rsidR="00924358" w:rsidRPr="00924358" w:rsidTr="00B32172">
        <w:trPr>
          <w:trHeight w:val="510"/>
        </w:trPr>
        <w:tc>
          <w:tcPr>
            <w:tcW w:w="2372" w:type="pct"/>
            <w:tcBorders>
              <w:top w:val="nil"/>
              <w:left w:val="single" w:sz="8" w:space="0" w:color="auto"/>
              <w:bottom w:val="single" w:sz="4" w:space="0" w:color="auto"/>
              <w:right w:val="single" w:sz="4" w:space="0" w:color="auto"/>
            </w:tcBorders>
            <w:shd w:val="clear" w:color="000000" w:fill="D8D8D8"/>
            <w:hideMark/>
          </w:tcPr>
          <w:p w:rsidR="00924358" w:rsidRPr="00924358" w:rsidRDefault="00924358" w:rsidP="00750033">
            <w:pPr>
              <w:autoSpaceDE/>
              <w:autoSpaceDN/>
              <w:adjustRightInd/>
              <w:spacing w:before="240" w:after="0" w:line="240" w:lineRule="auto"/>
              <w:jc w:val="left"/>
              <w:rPr>
                <w:rFonts w:eastAsia="Times New Roman"/>
                <w:b/>
                <w:sz w:val="20"/>
                <w:szCs w:val="20"/>
                <w:lang w:eastAsia="fr-FR"/>
              </w:rPr>
            </w:pPr>
            <w:r w:rsidRPr="00924358">
              <w:rPr>
                <w:rFonts w:eastAsia="Times New Roman"/>
                <w:b/>
                <w:sz w:val="20"/>
                <w:szCs w:val="20"/>
                <w:lang w:eastAsia="fr-FR"/>
              </w:rPr>
              <w:t>Formation brute de capital fixe</w:t>
            </w:r>
          </w:p>
        </w:tc>
        <w:tc>
          <w:tcPr>
            <w:tcW w:w="2015" w:type="pct"/>
            <w:tcBorders>
              <w:top w:val="nil"/>
              <w:left w:val="nil"/>
              <w:bottom w:val="single" w:sz="4" w:space="0" w:color="auto"/>
              <w:right w:val="single" w:sz="4" w:space="0" w:color="auto"/>
            </w:tcBorders>
            <w:shd w:val="clear" w:color="000000" w:fill="D8D8D8"/>
            <w:noWrap/>
            <w:vAlign w:val="center"/>
            <w:hideMark/>
          </w:tcPr>
          <w:p w:rsidR="00924358" w:rsidRPr="00924358" w:rsidRDefault="006B24BB" w:rsidP="00750033">
            <w:pPr>
              <w:autoSpaceDE/>
              <w:autoSpaceDN/>
              <w:adjustRightInd/>
              <w:spacing w:before="240" w:after="0" w:line="240" w:lineRule="auto"/>
              <w:jc w:val="center"/>
              <w:rPr>
                <w:rFonts w:eastAsia="Times New Roman"/>
                <w:b/>
                <w:sz w:val="20"/>
                <w:szCs w:val="20"/>
                <w:lang w:eastAsia="fr-FR"/>
              </w:rPr>
            </w:pPr>
            <w:r>
              <w:rPr>
                <w:rFonts w:eastAsia="Times New Roman"/>
                <w:b/>
                <w:sz w:val="20"/>
                <w:szCs w:val="20"/>
                <w:lang w:eastAsia="fr-FR"/>
              </w:rPr>
              <w:t>21244,27</w:t>
            </w:r>
          </w:p>
        </w:tc>
        <w:tc>
          <w:tcPr>
            <w:tcW w:w="613" w:type="pct"/>
            <w:tcBorders>
              <w:top w:val="nil"/>
              <w:left w:val="nil"/>
              <w:bottom w:val="single" w:sz="4" w:space="0" w:color="auto"/>
              <w:right w:val="single" w:sz="8" w:space="0" w:color="auto"/>
            </w:tcBorders>
            <w:shd w:val="clear" w:color="auto" w:fill="auto"/>
            <w:noWrap/>
            <w:vAlign w:val="center"/>
            <w:hideMark/>
          </w:tcPr>
          <w:p w:rsidR="00924358" w:rsidRPr="00924358" w:rsidRDefault="006B24BB" w:rsidP="00750033">
            <w:pPr>
              <w:autoSpaceDE/>
              <w:autoSpaceDN/>
              <w:adjustRightInd/>
              <w:spacing w:before="240" w:after="0" w:line="240" w:lineRule="auto"/>
              <w:jc w:val="center"/>
              <w:rPr>
                <w:rFonts w:eastAsia="Times New Roman"/>
                <w:b/>
                <w:sz w:val="20"/>
                <w:szCs w:val="20"/>
                <w:lang w:eastAsia="fr-FR"/>
              </w:rPr>
            </w:pPr>
            <w:r w:rsidRPr="00924358">
              <w:rPr>
                <w:rFonts w:eastAsia="Times New Roman"/>
                <w:b/>
                <w:sz w:val="20"/>
                <w:szCs w:val="20"/>
                <w:lang w:eastAsia="fr-FR"/>
              </w:rPr>
              <w:t>9</w:t>
            </w:r>
            <w:r>
              <w:rPr>
                <w:rFonts w:eastAsia="Times New Roman"/>
                <w:b/>
                <w:sz w:val="20"/>
                <w:szCs w:val="20"/>
                <w:lang w:eastAsia="fr-FR"/>
              </w:rPr>
              <w:t>5</w:t>
            </w:r>
            <w:r w:rsidR="00A71B64">
              <w:rPr>
                <w:rFonts w:eastAsia="Times New Roman"/>
                <w:b/>
                <w:sz w:val="20"/>
                <w:szCs w:val="20"/>
                <w:lang w:eastAsia="fr-FR"/>
              </w:rPr>
              <w:t xml:space="preserve">, </w:t>
            </w:r>
            <w:r w:rsidR="00D37DB4">
              <w:rPr>
                <w:rFonts w:eastAsia="Times New Roman"/>
                <w:b/>
                <w:sz w:val="20"/>
                <w:szCs w:val="20"/>
                <w:lang w:eastAsia="fr-FR"/>
              </w:rPr>
              <w:t>16</w:t>
            </w:r>
          </w:p>
        </w:tc>
      </w:tr>
      <w:tr w:rsidR="00924358" w:rsidRPr="00924358" w:rsidTr="00B32172">
        <w:trPr>
          <w:trHeight w:val="300"/>
        </w:trPr>
        <w:tc>
          <w:tcPr>
            <w:tcW w:w="2372" w:type="pct"/>
            <w:tcBorders>
              <w:top w:val="nil"/>
              <w:left w:val="single" w:sz="8" w:space="0" w:color="auto"/>
              <w:bottom w:val="single" w:sz="4" w:space="0" w:color="auto"/>
              <w:right w:val="single" w:sz="4" w:space="0" w:color="auto"/>
            </w:tcBorders>
            <w:shd w:val="clear" w:color="000000" w:fill="FCD5B4"/>
            <w:hideMark/>
          </w:tcPr>
          <w:p w:rsidR="00924358" w:rsidRPr="00924358" w:rsidRDefault="00924358" w:rsidP="00750033">
            <w:pPr>
              <w:autoSpaceDE/>
              <w:autoSpaceDN/>
              <w:adjustRightInd/>
              <w:spacing w:before="240" w:after="0" w:line="240" w:lineRule="auto"/>
              <w:jc w:val="left"/>
              <w:rPr>
                <w:rFonts w:eastAsia="Times New Roman"/>
                <w:bCs w:val="0"/>
                <w:i/>
                <w:iCs/>
                <w:color w:val="auto"/>
                <w:sz w:val="20"/>
                <w:szCs w:val="20"/>
                <w:lang w:eastAsia="fr-FR"/>
              </w:rPr>
            </w:pPr>
            <w:r w:rsidRPr="00924358">
              <w:rPr>
                <w:rFonts w:eastAsia="Times New Roman"/>
                <w:bCs w:val="0"/>
                <w:i/>
                <w:iCs/>
                <w:color w:val="auto"/>
                <w:sz w:val="20"/>
                <w:szCs w:val="20"/>
                <w:lang w:eastAsia="fr-FR"/>
              </w:rPr>
              <w:t>Infrastructure</w:t>
            </w:r>
          </w:p>
        </w:tc>
        <w:tc>
          <w:tcPr>
            <w:tcW w:w="2015" w:type="pct"/>
            <w:tcBorders>
              <w:top w:val="nil"/>
              <w:left w:val="nil"/>
              <w:bottom w:val="single" w:sz="4" w:space="0" w:color="auto"/>
              <w:right w:val="single" w:sz="4" w:space="0" w:color="auto"/>
            </w:tcBorders>
            <w:shd w:val="clear" w:color="000000" w:fill="FCD5B4"/>
            <w:noWrap/>
            <w:hideMark/>
          </w:tcPr>
          <w:p w:rsidR="00924358" w:rsidRPr="00924358" w:rsidRDefault="006B24BB" w:rsidP="00750033">
            <w:pPr>
              <w:autoSpaceDE/>
              <w:autoSpaceDN/>
              <w:adjustRightInd/>
              <w:spacing w:before="240" w:after="0" w:line="240" w:lineRule="auto"/>
              <w:jc w:val="center"/>
              <w:rPr>
                <w:rFonts w:eastAsia="Times New Roman"/>
                <w:bCs w:val="0"/>
                <w:i/>
                <w:iCs/>
                <w:color w:val="auto"/>
                <w:sz w:val="20"/>
                <w:szCs w:val="20"/>
                <w:lang w:eastAsia="fr-FR"/>
              </w:rPr>
            </w:pPr>
            <w:r>
              <w:rPr>
                <w:rFonts w:eastAsia="Times New Roman"/>
                <w:bCs w:val="0"/>
                <w:i/>
                <w:iCs/>
                <w:color w:val="auto"/>
                <w:sz w:val="20"/>
                <w:szCs w:val="20"/>
                <w:lang w:eastAsia="fr-FR"/>
              </w:rPr>
              <w:t>1227,22</w:t>
            </w:r>
          </w:p>
        </w:tc>
        <w:tc>
          <w:tcPr>
            <w:tcW w:w="613" w:type="pct"/>
            <w:tcBorders>
              <w:top w:val="nil"/>
              <w:left w:val="nil"/>
              <w:bottom w:val="single" w:sz="4" w:space="0" w:color="auto"/>
              <w:right w:val="single" w:sz="8" w:space="0" w:color="auto"/>
            </w:tcBorders>
            <w:shd w:val="clear" w:color="auto" w:fill="auto"/>
            <w:noWrap/>
            <w:vAlign w:val="bottom"/>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 </w:t>
            </w:r>
          </w:p>
        </w:tc>
      </w:tr>
      <w:tr w:rsidR="00924358" w:rsidRPr="00924358" w:rsidTr="00B32172">
        <w:trPr>
          <w:trHeight w:val="510"/>
        </w:trPr>
        <w:tc>
          <w:tcPr>
            <w:tcW w:w="2372" w:type="pct"/>
            <w:tcBorders>
              <w:top w:val="nil"/>
              <w:left w:val="single" w:sz="8" w:space="0" w:color="auto"/>
              <w:bottom w:val="single" w:sz="4" w:space="0" w:color="auto"/>
              <w:right w:val="single" w:sz="4" w:space="0" w:color="auto"/>
            </w:tcBorders>
            <w:shd w:val="clear" w:color="auto" w:fill="auto"/>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Bâtiments résidentiels et non résidentiels</w:t>
            </w:r>
          </w:p>
        </w:tc>
        <w:tc>
          <w:tcPr>
            <w:tcW w:w="2015" w:type="pct"/>
            <w:tcBorders>
              <w:top w:val="nil"/>
              <w:left w:val="nil"/>
              <w:bottom w:val="single" w:sz="4" w:space="0" w:color="auto"/>
              <w:right w:val="single" w:sz="4" w:space="0" w:color="auto"/>
            </w:tcBorders>
            <w:shd w:val="clear" w:color="auto" w:fill="auto"/>
            <w:noWrap/>
            <w:hideMark/>
          </w:tcPr>
          <w:p w:rsidR="00924358" w:rsidRPr="00924358" w:rsidRDefault="006B24BB" w:rsidP="00750033">
            <w:pPr>
              <w:autoSpaceDE/>
              <w:autoSpaceDN/>
              <w:adjustRightInd/>
              <w:spacing w:before="240" w:after="0" w:line="240" w:lineRule="auto"/>
              <w:jc w:val="center"/>
              <w:rPr>
                <w:rFonts w:eastAsia="Times New Roman"/>
                <w:bCs w:val="0"/>
                <w:sz w:val="20"/>
                <w:szCs w:val="20"/>
                <w:lang w:eastAsia="fr-FR"/>
              </w:rPr>
            </w:pPr>
            <w:r>
              <w:rPr>
                <w:rFonts w:eastAsia="Times New Roman"/>
                <w:bCs w:val="0"/>
                <w:sz w:val="20"/>
                <w:szCs w:val="20"/>
                <w:lang w:eastAsia="fr-FR"/>
              </w:rPr>
              <w:t>1225,9</w:t>
            </w:r>
            <w:r w:rsidR="00A71B64">
              <w:rPr>
                <w:rFonts w:eastAsia="Times New Roman"/>
                <w:bCs w:val="0"/>
                <w:sz w:val="20"/>
                <w:szCs w:val="20"/>
                <w:lang w:eastAsia="fr-FR"/>
              </w:rPr>
              <w:t>1</w:t>
            </w:r>
          </w:p>
        </w:tc>
        <w:tc>
          <w:tcPr>
            <w:tcW w:w="613" w:type="pct"/>
            <w:tcBorders>
              <w:top w:val="nil"/>
              <w:left w:val="nil"/>
              <w:bottom w:val="single" w:sz="4" w:space="0" w:color="auto"/>
              <w:right w:val="single" w:sz="8" w:space="0" w:color="auto"/>
            </w:tcBorders>
            <w:shd w:val="clear" w:color="auto" w:fill="auto"/>
            <w:noWrap/>
            <w:vAlign w:val="bottom"/>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 </w:t>
            </w:r>
          </w:p>
        </w:tc>
      </w:tr>
      <w:tr w:rsidR="00924358" w:rsidRPr="00924358" w:rsidTr="00B32172">
        <w:trPr>
          <w:trHeight w:val="300"/>
        </w:trPr>
        <w:tc>
          <w:tcPr>
            <w:tcW w:w="2372" w:type="pct"/>
            <w:tcBorders>
              <w:top w:val="nil"/>
              <w:left w:val="single" w:sz="8" w:space="0" w:color="auto"/>
              <w:bottom w:val="single" w:sz="4" w:space="0" w:color="auto"/>
              <w:right w:val="single" w:sz="4" w:space="0" w:color="auto"/>
            </w:tcBorders>
            <w:shd w:val="clear" w:color="auto" w:fill="auto"/>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Autres ouvrages</w:t>
            </w:r>
          </w:p>
        </w:tc>
        <w:tc>
          <w:tcPr>
            <w:tcW w:w="2015" w:type="pct"/>
            <w:tcBorders>
              <w:top w:val="nil"/>
              <w:left w:val="nil"/>
              <w:bottom w:val="single" w:sz="4" w:space="0" w:color="auto"/>
              <w:right w:val="single" w:sz="4" w:space="0" w:color="auto"/>
            </w:tcBorders>
            <w:shd w:val="clear" w:color="auto" w:fill="auto"/>
            <w:noWrap/>
            <w:hideMark/>
          </w:tcPr>
          <w:p w:rsidR="00924358" w:rsidRPr="00924358" w:rsidRDefault="006B24BB" w:rsidP="00750033">
            <w:pPr>
              <w:autoSpaceDE/>
              <w:autoSpaceDN/>
              <w:adjustRightInd/>
              <w:spacing w:before="240" w:after="0" w:line="240" w:lineRule="auto"/>
              <w:jc w:val="center"/>
              <w:rPr>
                <w:rFonts w:eastAsia="Times New Roman"/>
                <w:bCs w:val="0"/>
                <w:sz w:val="20"/>
                <w:szCs w:val="20"/>
                <w:lang w:eastAsia="fr-FR"/>
              </w:rPr>
            </w:pPr>
            <w:r>
              <w:rPr>
                <w:rFonts w:eastAsia="Times New Roman"/>
                <w:bCs w:val="0"/>
                <w:sz w:val="20"/>
                <w:szCs w:val="20"/>
                <w:lang w:eastAsia="fr-FR"/>
              </w:rPr>
              <w:t>1,27</w:t>
            </w:r>
          </w:p>
        </w:tc>
        <w:tc>
          <w:tcPr>
            <w:tcW w:w="613" w:type="pct"/>
            <w:tcBorders>
              <w:top w:val="nil"/>
              <w:left w:val="nil"/>
              <w:bottom w:val="single" w:sz="4" w:space="0" w:color="auto"/>
              <w:right w:val="single" w:sz="8" w:space="0" w:color="auto"/>
            </w:tcBorders>
            <w:shd w:val="clear" w:color="auto" w:fill="auto"/>
            <w:noWrap/>
            <w:vAlign w:val="bottom"/>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 </w:t>
            </w:r>
          </w:p>
        </w:tc>
      </w:tr>
      <w:tr w:rsidR="00924358" w:rsidRPr="00924358" w:rsidTr="00B32172">
        <w:trPr>
          <w:trHeight w:val="510"/>
        </w:trPr>
        <w:tc>
          <w:tcPr>
            <w:tcW w:w="2372" w:type="pct"/>
            <w:tcBorders>
              <w:top w:val="nil"/>
              <w:left w:val="single" w:sz="8" w:space="0" w:color="auto"/>
              <w:bottom w:val="single" w:sz="4" w:space="0" w:color="auto"/>
              <w:right w:val="single" w:sz="4" w:space="0" w:color="auto"/>
            </w:tcBorders>
            <w:shd w:val="clear" w:color="000000" w:fill="FCD5B4"/>
            <w:hideMark/>
          </w:tcPr>
          <w:p w:rsidR="00924358" w:rsidRPr="00924358" w:rsidRDefault="00924358" w:rsidP="00750033">
            <w:pPr>
              <w:autoSpaceDE/>
              <w:autoSpaceDN/>
              <w:adjustRightInd/>
              <w:spacing w:before="240" w:after="0" w:line="240" w:lineRule="auto"/>
              <w:jc w:val="left"/>
              <w:rPr>
                <w:rFonts w:eastAsia="Times New Roman"/>
                <w:bCs w:val="0"/>
                <w:i/>
                <w:iCs/>
                <w:color w:val="auto"/>
                <w:sz w:val="20"/>
                <w:szCs w:val="20"/>
                <w:lang w:eastAsia="fr-FR"/>
              </w:rPr>
            </w:pPr>
            <w:r w:rsidRPr="00924358">
              <w:rPr>
                <w:rFonts w:eastAsia="Times New Roman"/>
                <w:bCs w:val="0"/>
                <w:i/>
                <w:iCs/>
                <w:color w:val="auto"/>
                <w:sz w:val="20"/>
                <w:szCs w:val="20"/>
                <w:lang w:eastAsia="fr-FR"/>
              </w:rPr>
              <w:t>Machines et équipements</w:t>
            </w:r>
          </w:p>
        </w:tc>
        <w:tc>
          <w:tcPr>
            <w:tcW w:w="2015" w:type="pct"/>
            <w:tcBorders>
              <w:top w:val="nil"/>
              <w:left w:val="nil"/>
              <w:bottom w:val="single" w:sz="4" w:space="0" w:color="auto"/>
              <w:right w:val="single" w:sz="4" w:space="0" w:color="auto"/>
            </w:tcBorders>
            <w:shd w:val="clear" w:color="000000" w:fill="FCD5B4"/>
            <w:noWrap/>
            <w:hideMark/>
          </w:tcPr>
          <w:p w:rsidR="00924358" w:rsidRPr="00924358" w:rsidRDefault="006B24BB" w:rsidP="00750033">
            <w:pPr>
              <w:autoSpaceDE/>
              <w:autoSpaceDN/>
              <w:adjustRightInd/>
              <w:spacing w:before="240" w:after="0" w:line="240" w:lineRule="auto"/>
              <w:jc w:val="center"/>
              <w:rPr>
                <w:rFonts w:eastAsia="Times New Roman"/>
                <w:bCs w:val="0"/>
                <w:i/>
                <w:iCs/>
                <w:color w:val="auto"/>
                <w:sz w:val="20"/>
                <w:szCs w:val="20"/>
                <w:lang w:eastAsia="fr-FR"/>
              </w:rPr>
            </w:pPr>
            <w:r>
              <w:rPr>
                <w:rFonts w:eastAsia="Times New Roman"/>
                <w:bCs w:val="0"/>
                <w:i/>
                <w:iCs/>
                <w:color w:val="auto"/>
                <w:sz w:val="20"/>
                <w:szCs w:val="20"/>
                <w:lang w:eastAsia="fr-FR"/>
              </w:rPr>
              <w:t>20017,05</w:t>
            </w:r>
          </w:p>
        </w:tc>
        <w:tc>
          <w:tcPr>
            <w:tcW w:w="613" w:type="pct"/>
            <w:tcBorders>
              <w:top w:val="nil"/>
              <w:left w:val="nil"/>
              <w:bottom w:val="single" w:sz="4" w:space="0" w:color="auto"/>
              <w:right w:val="single" w:sz="8" w:space="0" w:color="auto"/>
            </w:tcBorders>
            <w:shd w:val="clear" w:color="auto" w:fill="auto"/>
            <w:noWrap/>
            <w:vAlign w:val="bottom"/>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 </w:t>
            </w:r>
          </w:p>
        </w:tc>
      </w:tr>
      <w:tr w:rsidR="00924358" w:rsidRPr="00924358" w:rsidTr="00B32172">
        <w:trPr>
          <w:trHeight w:val="300"/>
        </w:trPr>
        <w:tc>
          <w:tcPr>
            <w:tcW w:w="2372" w:type="pct"/>
            <w:tcBorders>
              <w:top w:val="nil"/>
              <w:left w:val="single" w:sz="8" w:space="0" w:color="auto"/>
              <w:bottom w:val="single" w:sz="4" w:space="0" w:color="auto"/>
              <w:right w:val="single" w:sz="4" w:space="0" w:color="auto"/>
            </w:tcBorders>
            <w:shd w:val="clear" w:color="auto" w:fill="auto"/>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Equipements médicaux</w:t>
            </w:r>
          </w:p>
        </w:tc>
        <w:tc>
          <w:tcPr>
            <w:tcW w:w="2015" w:type="pct"/>
            <w:tcBorders>
              <w:top w:val="nil"/>
              <w:left w:val="nil"/>
              <w:bottom w:val="single" w:sz="4" w:space="0" w:color="auto"/>
              <w:right w:val="single" w:sz="4" w:space="0" w:color="auto"/>
            </w:tcBorders>
            <w:shd w:val="clear" w:color="auto" w:fill="auto"/>
            <w:noWrap/>
            <w:hideMark/>
          </w:tcPr>
          <w:p w:rsidR="00924358" w:rsidRPr="00924358" w:rsidRDefault="006B24BB" w:rsidP="00750033">
            <w:pPr>
              <w:autoSpaceDE/>
              <w:autoSpaceDN/>
              <w:adjustRightInd/>
              <w:spacing w:before="240" w:after="0" w:line="240" w:lineRule="auto"/>
              <w:jc w:val="center"/>
              <w:rPr>
                <w:rFonts w:eastAsia="Times New Roman"/>
                <w:bCs w:val="0"/>
                <w:sz w:val="20"/>
                <w:szCs w:val="20"/>
                <w:lang w:eastAsia="fr-FR"/>
              </w:rPr>
            </w:pPr>
            <w:r>
              <w:rPr>
                <w:rFonts w:eastAsia="Times New Roman"/>
                <w:bCs w:val="0"/>
                <w:sz w:val="20"/>
                <w:szCs w:val="20"/>
                <w:lang w:eastAsia="fr-FR"/>
              </w:rPr>
              <w:t>2888,52</w:t>
            </w:r>
          </w:p>
        </w:tc>
        <w:tc>
          <w:tcPr>
            <w:tcW w:w="613" w:type="pct"/>
            <w:tcBorders>
              <w:top w:val="nil"/>
              <w:left w:val="nil"/>
              <w:bottom w:val="single" w:sz="4" w:space="0" w:color="auto"/>
              <w:right w:val="single" w:sz="8" w:space="0" w:color="auto"/>
            </w:tcBorders>
            <w:shd w:val="clear" w:color="auto" w:fill="auto"/>
            <w:noWrap/>
            <w:vAlign w:val="bottom"/>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 </w:t>
            </w:r>
          </w:p>
        </w:tc>
      </w:tr>
      <w:tr w:rsidR="00924358" w:rsidRPr="00924358" w:rsidTr="00B32172">
        <w:trPr>
          <w:trHeight w:val="300"/>
        </w:trPr>
        <w:tc>
          <w:tcPr>
            <w:tcW w:w="2372" w:type="pct"/>
            <w:tcBorders>
              <w:top w:val="nil"/>
              <w:left w:val="single" w:sz="8" w:space="0" w:color="auto"/>
              <w:bottom w:val="single" w:sz="4" w:space="0" w:color="auto"/>
              <w:right w:val="single" w:sz="4" w:space="0" w:color="auto"/>
            </w:tcBorders>
            <w:shd w:val="clear" w:color="auto" w:fill="auto"/>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Matériel de transport</w:t>
            </w:r>
          </w:p>
        </w:tc>
        <w:tc>
          <w:tcPr>
            <w:tcW w:w="2015" w:type="pct"/>
            <w:tcBorders>
              <w:top w:val="nil"/>
              <w:left w:val="nil"/>
              <w:bottom w:val="single" w:sz="4" w:space="0" w:color="auto"/>
              <w:right w:val="single" w:sz="4" w:space="0" w:color="auto"/>
            </w:tcBorders>
            <w:shd w:val="clear" w:color="auto" w:fill="auto"/>
            <w:noWrap/>
            <w:hideMark/>
          </w:tcPr>
          <w:p w:rsidR="00924358" w:rsidRPr="00924358" w:rsidRDefault="006B24BB" w:rsidP="00750033">
            <w:pPr>
              <w:autoSpaceDE/>
              <w:autoSpaceDN/>
              <w:adjustRightInd/>
              <w:spacing w:before="240" w:after="0" w:line="240" w:lineRule="auto"/>
              <w:jc w:val="center"/>
              <w:rPr>
                <w:rFonts w:eastAsia="Times New Roman"/>
                <w:bCs w:val="0"/>
                <w:sz w:val="20"/>
                <w:szCs w:val="20"/>
                <w:lang w:eastAsia="fr-FR"/>
              </w:rPr>
            </w:pPr>
            <w:r>
              <w:rPr>
                <w:rFonts w:eastAsia="Times New Roman"/>
                <w:bCs w:val="0"/>
                <w:sz w:val="20"/>
                <w:szCs w:val="20"/>
                <w:lang w:eastAsia="fr-FR"/>
              </w:rPr>
              <w:t>16205,05</w:t>
            </w:r>
          </w:p>
        </w:tc>
        <w:tc>
          <w:tcPr>
            <w:tcW w:w="613" w:type="pct"/>
            <w:tcBorders>
              <w:top w:val="nil"/>
              <w:left w:val="nil"/>
              <w:bottom w:val="single" w:sz="4" w:space="0" w:color="auto"/>
              <w:right w:val="single" w:sz="8" w:space="0" w:color="auto"/>
            </w:tcBorders>
            <w:shd w:val="clear" w:color="auto" w:fill="auto"/>
            <w:noWrap/>
            <w:vAlign w:val="bottom"/>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 </w:t>
            </w:r>
          </w:p>
        </w:tc>
      </w:tr>
      <w:tr w:rsidR="00924358" w:rsidRPr="00924358" w:rsidTr="00B32172">
        <w:trPr>
          <w:trHeight w:val="300"/>
        </w:trPr>
        <w:tc>
          <w:tcPr>
            <w:tcW w:w="2372" w:type="pct"/>
            <w:tcBorders>
              <w:top w:val="nil"/>
              <w:left w:val="single" w:sz="8" w:space="0" w:color="auto"/>
              <w:bottom w:val="single" w:sz="4" w:space="0" w:color="auto"/>
              <w:right w:val="single" w:sz="4" w:space="0" w:color="auto"/>
            </w:tcBorders>
            <w:shd w:val="clear" w:color="auto" w:fill="auto"/>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Equipements TIC</w:t>
            </w:r>
          </w:p>
        </w:tc>
        <w:tc>
          <w:tcPr>
            <w:tcW w:w="2015" w:type="pct"/>
            <w:tcBorders>
              <w:top w:val="nil"/>
              <w:left w:val="nil"/>
              <w:bottom w:val="single" w:sz="4" w:space="0" w:color="auto"/>
              <w:right w:val="single" w:sz="4" w:space="0" w:color="auto"/>
            </w:tcBorders>
            <w:shd w:val="clear" w:color="auto" w:fill="auto"/>
            <w:noWrap/>
            <w:hideMark/>
          </w:tcPr>
          <w:p w:rsidR="00924358" w:rsidRPr="00924358" w:rsidRDefault="00924358" w:rsidP="00750033">
            <w:pPr>
              <w:autoSpaceDE/>
              <w:autoSpaceDN/>
              <w:adjustRightInd/>
              <w:spacing w:before="240" w:after="0" w:line="240" w:lineRule="auto"/>
              <w:jc w:val="center"/>
              <w:rPr>
                <w:rFonts w:eastAsia="Times New Roman"/>
                <w:bCs w:val="0"/>
                <w:sz w:val="20"/>
                <w:szCs w:val="20"/>
                <w:lang w:eastAsia="fr-FR"/>
              </w:rPr>
            </w:pPr>
            <w:r w:rsidRPr="00924358">
              <w:rPr>
                <w:rFonts w:eastAsia="Times New Roman"/>
                <w:bCs w:val="0"/>
                <w:sz w:val="20"/>
                <w:szCs w:val="20"/>
                <w:lang w:eastAsia="fr-FR"/>
              </w:rPr>
              <w:t>208,11</w:t>
            </w:r>
          </w:p>
        </w:tc>
        <w:tc>
          <w:tcPr>
            <w:tcW w:w="613" w:type="pct"/>
            <w:tcBorders>
              <w:top w:val="nil"/>
              <w:left w:val="nil"/>
              <w:bottom w:val="single" w:sz="4" w:space="0" w:color="auto"/>
              <w:right w:val="single" w:sz="8" w:space="0" w:color="auto"/>
            </w:tcBorders>
            <w:shd w:val="clear" w:color="auto" w:fill="auto"/>
            <w:noWrap/>
            <w:vAlign w:val="bottom"/>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 </w:t>
            </w:r>
          </w:p>
        </w:tc>
      </w:tr>
      <w:tr w:rsidR="00924358" w:rsidRPr="00924358" w:rsidTr="00B32172">
        <w:trPr>
          <w:trHeight w:val="510"/>
        </w:trPr>
        <w:tc>
          <w:tcPr>
            <w:tcW w:w="2372" w:type="pct"/>
            <w:tcBorders>
              <w:top w:val="nil"/>
              <w:left w:val="single" w:sz="8" w:space="0" w:color="auto"/>
              <w:bottom w:val="single" w:sz="4" w:space="0" w:color="auto"/>
              <w:right w:val="single" w:sz="4" w:space="0" w:color="auto"/>
            </w:tcBorders>
            <w:shd w:val="clear" w:color="auto" w:fill="auto"/>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Machines et équipements nca</w:t>
            </w:r>
          </w:p>
        </w:tc>
        <w:tc>
          <w:tcPr>
            <w:tcW w:w="2015" w:type="pct"/>
            <w:tcBorders>
              <w:top w:val="nil"/>
              <w:left w:val="nil"/>
              <w:bottom w:val="single" w:sz="4" w:space="0" w:color="auto"/>
              <w:right w:val="single" w:sz="4" w:space="0" w:color="auto"/>
            </w:tcBorders>
            <w:shd w:val="clear" w:color="auto" w:fill="auto"/>
            <w:noWrap/>
            <w:hideMark/>
          </w:tcPr>
          <w:p w:rsidR="00924358" w:rsidRPr="00924358" w:rsidRDefault="006B24BB" w:rsidP="00750033">
            <w:pPr>
              <w:autoSpaceDE/>
              <w:autoSpaceDN/>
              <w:adjustRightInd/>
              <w:spacing w:before="240" w:after="0" w:line="240" w:lineRule="auto"/>
              <w:jc w:val="center"/>
              <w:rPr>
                <w:rFonts w:eastAsia="Times New Roman"/>
                <w:bCs w:val="0"/>
                <w:sz w:val="20"/>
                <w:szCs w:val="20"/>
                <w:lang w:eastAsia="fr-FR"/>
              </w:rPr>
            </w:pPr>
            <w:r>
              <w:rPr>
                <w:rFonts w:eastAsia="Times New Roman"/>
                <w:bCs w:val="0"/>
                <w:sz w:val="20"/>
                <w:szCs w:val="20"/>
                <w:lang w:eastAsia="fr-FR"/>
              </w:rPr>
              <w:t>715,38</w:t>
            </w:r>
          </w:p>
        </w:tc>
        <w:tc>
          <w:tcPr>
            <w:tcW w:w="613" w:type="pct"/>
            <w:tcBorders>
              <w:top w:val="nil"/>
              <w:left w:val="nil"/>
              <w:bottom w:val="single" w:sz="4" w:space="0" w:color="auto"/>
              <w:right w:val="single" w:sz="8" w:space="0" w:color="auto"/>
            </w:tcBorders>
            <w:shd w:val="clear" w:color="auto" w:fill="auto"/>
            <w:noWrap/>
            <w:vAlign w:val="bottom"/>
            <w:hideMark/>
          </w:tcPr>
          <w:p w:rsidR="00924358" w:rsidRPr="00924358" w:rsidRDefault="00924358" w:rsidP="00750033">
            <w:pPr>
              <w:autoSpaceDE/>
              <w:autoSpaceDN/>
              <w:adjustRightInd/>
              <w:spacing w:before="240" w:after="0" w:line="240" w:lineRule="auto"/>
              <w:jc w:val="left"/>
              <w:rPr>
                <w:rFonts w:eastAsia="Times New Roman"/>
                <w:bCs w:val="0"/>
                <w:sz w:val="20"/>
                <w:szCs w:val="20"/>
                <w:lang w:eastAsia="fr-FR"/>
              </w:rPr>
            </w:pPr>
            <w:r w:rsidRPr="00924358">
              <w:rPr>
                <w:rFonts w:eastAsia="Times New Roman"/>
                <w:bCs w:val="0"/>
                <w:sz w:val="20"/>
                <w:szCs w:val="20"/>
                <w:lang w:eastAsia="fr-FR"/>
              </w:rPr>
              <w:t> </w:t>
            </w:r>
          </w:p>
        </w:tc>
      </w:tr>
      <w:tr w:rsidR="00924358" w:rsidRPr="00924358" w:rsidTr="00B32172">
        <w:trPr>
          <w:trHeight w:val="765"/>
        </w:trPr>
        <w:tc>
          <w:tcPr>
            <w:tcW w:w="2372" w:type="pct"/>
            <w:tcBorders>
              <w:top w:val="nil"/>
              <w:left w:val="single" w:sz="8" w:space="0" w:color="auto"/>
              <w:bottom w:val="single" w:sz="4" w:space="0" w:color="auto"/>
              <w:right w:val="single" w:sz="4" w:space="0" w:color="auto"/>
            </w:tcBorders>
            <w:shd w:val="clear" w:color="000000" w:fill="D8D8D8"/>
            <w:vAlign w:val="center"/>
            <w:hideMark/>
          </w:tcPr>
          <w:p w:rsidR="00924358" w:rsidRPr="00924358" w:rsidRDefault="00924358" w:rsidP="00750033">
            <w:pPr>
              <w:autoSpaceDE/>
              <w:autoSpaceDN/>
              <w:adjustRightInd/>
              <w:spacing w:before="240" w:after="0" w:line="240" w:lineRule="auto"/>
              <w:jc w:val="left"/>
              <w:rPr>
                <w:rFonts w:eastAsia="Times New Roman"/>
                <w:b/>
                <w:sz w:val="20"/>
                <w:szCs w:val="20"/>
                <w:lang w:eastAsia="fr-FR"/>
              </w:rPr>
            </w:pPr>
            <w:r w:rsidRPr="00924358">
              <w:rPr>
                <w:rFonts w:eastAsia="Times New Roman"/>
                <w:b/>
                <w:sz w:val="20"/>
                <w:szCs w:val="20"/>
                <w:lang w:eastAsia="fr-FR"/>
              </w:rPr>
              <w:t>Formation brute de capital non spécifiée (n.c.a.)</w:t>
            </w:r>
          </w:p>
        </w:tc>
        <w:tc>
          <w:tcPr>
            <w:tcW w:w="2015" w:type="pct"/>
            <w:tcBorders>
              <w:top w:val="nil"/>
              <w:left w:val="nil"/>
              <w:bottom w:val="single" w:sz="4" w:space="0" w:color="auto"/>
              <w:right w:val="single" w:sz="4" w:space="0" w:color="auto"/>
            </w:tcBorders>
            <w:shd w:val="clear" w:color="000000" w:fill="D8D8D8"/>
            <w:noWrap/>
            <w:vAlign w:val="center"/>
            <w:hideMark/>
          </w:tcPr>
          <w:p w:rsidR="00924358" w:rsidRPr="00924358" w:rsidRDefault="006B24BB" w:rsidP="00750033">
            <w:pPr>
              <w:autoSpaceDE/>
              <w:autoSpaceDN/>
              <w:adjustRightInd/>
              <w:spacing w:before="240" w:after="0" w:line="240" w:lineRule="auto"/>
              <w:jc w:val="center"/>
              <w:rPr>
                <w:rFonts w:eastAsia="Times New Roman"/>
                <w:b/>
                <w:color w:val="auto"/>
                <w:sz w:val="20"/>
                <w:szCs w:val="20"/>
                <w:lang w:eastAsia="fr-FR"/>
              </w:rPr>
            </w:pPr>
            <w:r>
              <w:rPr>
                <w:rFonts w:eastAsia="Times New Roman"/>
                <w:b/>
                <w:color w:val="auto"/>
                <w:sz w:val="20"/>
                <w:szCs w:val="20"/>
                <w:lang w:eastAsia="fr-FR"/>
              </w:rPr>
              <w:t>1079,36</w:t>
            </w:r>
          </w:p>
        </w:tc>
        <w:tc>
          <w:tcPr>
            <w:tcW w:w="613" w:type="pct"/>
            <w:tcBorders>
              <w:top w:val="nil"/>
              <w:left w:val="nil"/>
              <w:bottom w:val="single" w:sz="4" w:space="0" w:color="auto"/>
              <w:right w:val="single" w:sz="8" w:space="0" w:color="auto"/>
            </w:tcBorders>
            <w:shd w:val="clear" w:color="auto" w:fill="auto"/>
            <w:noWrap/>
            <w:vAlign w:val="center"/>
            <w:hideMark/>
          </w:tcPr>
          <w:p w:rsidR="00924358" w:rsidRPr="00924358" w:rsidRDefault="00A71B64" w:rsidP="00750033">
            <w:pPr>
              <w:autoSpaceDE/>
              <w:autoSpaceDN/>
              <w:adjustRightInd/>
              <w:spacing w:before="240" w:after="0" w:line="240" w:lineRule="auto"/>
              <w:jc w:val="center"/>
              <w:rPr>
                <w:rFonts w:eastAsia="Times New Roman"/>
                <w:b/>
                <w:sz w:val="20"/>
                <w:szCs w:val="20"/>
                <w:lang w:eastAsia="fr-FR"/>
              </w:rPr>
            </w:pPr>
            <w:r>
              <w:rPr>
                <w:rFonts w:eastAsia="Times New Roman"/>
                <w:b/>
                <w:sz w:val="20"/>
                <w:szCs w:val="20"/>
                <w:lang w:eastAsia="fr-FR"/>
              </w:rPr>
              <w:t>4,</w:t>
            </w:r>
            <w:r w:rsidR="00D37DB4">
              <w:rPr>
                <w:rFonts w:eastAsia="Times New Roman"/>
                <w:b/>
                <w:sz w:val="20"/>
                <w:szCs w:val="20"/>
                <w:lang w:eastAsia="fr-FR"/>
              </w:rPr>
              <w:t>84</w:t>
            </w:r>
          </w:p>
        </w:tc>
      </w:tr>
      <w:tr w:rsidR="00924358" w:rsidRPr="00924358" w:rsidTr="00B32172">
        <w:trPr>
          <w:trHeight w:val="315"/>
        </w:trPr>
        <w:tc>
          <w:tcPr>
            <w:tcW w:w="2372" w:type="pct"/>
            <w:tcBorders>
              <w:top w:val="nil"/>
              <w:left w:val="single" w:sz="8" w:space="0" w:color="auto"/>
              <w:bottom w:val="single" w:sz="8" w:space="0" w:color="auto"/>
              <w:right w:val="single" w:sz="4" w:space="0" w:color="auto"/>
            </w:tcBorders>
            <w:shd w:val="clear" w:color="auto" w:fill="auto"/>
            <w:noWrap/>
            <w:hideMark/>
          </w:tcPr>
          <w:p w:rsidR="00924358" w:rsidRPr="00924358" w:rsidRDefault="00924358" w:rsidP="00750033">
            <w:pPr>
              <w:autoSpaceDE/>
              <w:autoSpaceDN/>
              <w:adjustRightInd/>
              <w:spacing w:before="240" w:after="0" w:line="240" w:lineRule="auto"/>
              <w:jc w:val="left"/>
              <w:rPr>
                <w:rFonts w:eastAsia="Times New Roman"/>
                <w:b/>
                <w:lang w:eastAsia="fr-FR"/>
              </w:rPr>
            </w:pPr>
            <w:r w:rsidRPr="00924358">
              <w:rPr>
                <w:rFonts w:eastAsia="Times New Roman"/>
                <w:b/>
                <w:sz w:val="22"/>
                <w:szCs w:val="22"/>
                <w:lang w:eastAsia="fr-FR"/>
              </w:rPr>
              <w:t>Total</w:t>
            </w:r>
          </w:p>
        </w:tc>
        <w:tc>
          <w:tcPr>
            <w:tcW w:w="2015" w:type="pct"/>
            <w:tcBorders>
              <w:top w:val="nil"/>
              <w:left w:val="nil"/>
              <w:bottom w:val="single" w:sz="8" w:space="0" w:color="auto"/>
              <w:right w:val="single" w:sz="4" w:space="0" w:color="auto"/>
            </w:tcBorders>
            <w:shd w:val="clear" w:color="auto" w:fill="auto"/>
            <w:noWrap/>
            <w:hideMark/>
          </w:tcPr>
          <w:p w:rsidR="00924358" w:rsidRPr="00924358" w:rsidRDefault="009A61B0" w:rsidP="00750033">
            <w:pPr>
              <w:autoSpaceDE/>
              <w:autoSpaceDN/>
              <w:adjustRightInd/>
              <w:spacing w:before="240" w:after="0" w:line="240" w:lineRule="auto"/>
              <w:jc w:val="center"/>
              <w:rPr>
                <w:rFonts w:eastAsia="Times New Roman"/>
                <w:b/>
                <w:lang w:eastAsia="fr-FR"/>
              </w:rPr>
            </w:pPr>
            <w:r w:rsidRPr="009A61B0">
              <w:rPr>
                <w:rFonts w:eastAsia="Times New Roman"/>
                <w:b/>
                <w:sz w:val="22"/>
                <w:szCs w:val="22"/>
                <w:lang w:eastAsia="fr-FR"/>
              </w:rPr>
              <w:t>22323,63</w:t>
            </w:r>
          </w:p>
        </w:tc>
        <w:tc>
          <w:tcPr>
            <w:tcW w:w="613" w:type="pct"/>
            <w:tcBorders>
              <w:top w:val="nil"/>
              <w:left w:val="nil"/>
              <w:bottom w:val="single" w:sz="8" w:space="0" w:color="auto"/>
              <w:right w:val="single" w:sz="8" w:space="0" w:color="auto"/>
            </w:tcBorders>
            <w:shd w:val="clear" w:color="auto" w:fill="auto"/>
            <w:noWrap/>
            <w:vAlign w:val="center"/>
            <w:hideMark/>
          </w:tcPr>
          <w:p w:rsidR="00924358" w:rsidRPr="00924358" w:rsidRDefault="00924358" w:rsidP="00750033">
            <w:pPr>
              <w:autoSpaceDE/>
              <w:autoSpaceDN/>
              <w:adjustRightInd/>
              <w:spacing w:before="240" w:after="0" w:line="240" w:lineRule="auto"/>
              <w:jc w:val="center"/>
              <w:rPr>
                <w:rFonts w:eastAsia="Times New Roman"/>
                <w:b/>
                <w:lang w:eastAsia="fr-FR"/>
              </w:rPr>
            </w:pPr>
            <w:r w:rsidRPr="00924358">
              <w:rPr>
                <w:rFonts w:eastAsia="Times New Roman"/>
                <w:b/>
                <w:sz w:val="22"/>
                <w:szCs w:val="22"/>
                <w:lang w:eastAsia="fr-FR"/>
              </w:rPr>
              <w:t>100,00</w:t>
            </w:r>
          </w:p>
        </w:tc>
      </w:tr>
    </w:tbl>
    <w:p w:rsidR="00BB0E69" w:rsidRDefault="00BB0E69" w:rsidP="00587784">
      <w:pPr>
        <w:spacing w:line="312" w:lineRule="auto"/>
      </w:pPr>
    </w:p>
    <w:p w:rsidR="00647515" w:rsidRDefault="00647515" w:rsidP="00587784">
      <w:pPr>
        <w:spacing w:line="312" w:lineRule="auto"/>
      </w:pPr>
    </w:p>
    <w:p w:rsidR="00CA77BF" w:rsidRPr="00921987" w:rsidRDefault="00E72F8E" w:rsidP="00587784">
      <w:pPr>
        <w:spacing w:line="312" w:lineRule="auto"/>
      </w:pPr>
      <w:r>
        <w:rPr>
          <w:noProof/>
          <w:lang w:eastAsia="fr-FR"/>
        </w:rPr>
        <w:pict>
          <v:shape id="Organigramme : Bande perforée 12" o:spid="_x0000_s1031" type="#_x0000_t122" style="position:absolute;left:0;text-align:left;margin-left:0;margin-top:0;width:462pt;height:69.75pt;z-index:251659776;visibility:visible;mso-position-horizontal:center;mso-position-horizontal-relative:margin;mso-position-vertical:center;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N7kwIAAF0FAAAOAAAAZHJzL2Uyb0RvYy54bWysVM1uEzEQviPxDpbvdJMoacOqmyqkKkKK&#10;2ogW9ex47eyq6x/GTnbD03Dta8CLMfb+tNCKA+Ji2Z75xjPzfePzi0ZV5CDAlUZndHwyokRobvJS&#10;7zL65e7q3ZwS55nOWWW0yOhROHqxePvmvLapmJjCVLkAgkG0S2ub0cJ7myaJ44VQzJ0YKzQapQHF&#10;PB5hl+TAaoyuqmQyGp0mtYHcguHCOby9bI10EeNLKbi/kdIJT6qMYm4+rhDXbViTxTlLd8BsUfIu&#10;DfYPWShWanx0CHXJPCN7KF+EUiUH44z0J9yoxEhZchFrwGrGoz+quS2YFbEWbI6zQ5vc/wvLrw8b&#10;IGWO3E0o0UwhRzewY7rEpiglfnxPyQekTxArAGn4+SgIemLbautSRN/aDYTCnV0b/uDQkPxmCQfX&#10;+TQSVPDFskkTOTgOHIjGE46Xs/np2XSEVHG0zeez+WQWXktY2qMtOP9RGEXCJqOyMvWqYOA3e42q&#10;ye/anrGUHdbOt9Ae0iXX5hMz88dKhJQq/VlI7ANmMIlERgWKVQXkwFA7+cO4SyN6Bogsq2oAjV8D&#10;Vb4Hdb4BJqIqB+DoNeDTa4N3fNFoPwBVqQ38HSxb/77qttZQtm+2TSQ99jbcbE1+RCGAaSfEWX5V&#10;YnvXzPkNAxwJZATH3N/gEjqeUdPtKCkMfHvtPvijUtFKSY0jllH3dc9AUFJ90qjh9+PpNMxkPExn&#10;ZxM8wHPL9rlF79XKIBNj/FAsj9vg76t+K8Goe/wNluFVNDGUg8FR5x76w8q3o49C5mK5jG44h5b5&#10;tb61PAQPfQ5yuWvuGdhOYx7VeW36cXwhrdY3ILVZ7r2RZdTdU187BnCGo5K7/yZ8Es/P0evpV1z8&#10;AgAA//8DAFBLAwQUAAYACAAAACEAPjRJytsAAAAFAQAADwAAAGRycy9kb3ducmV2LnhtbEyPUUvD&#10;QBCE34X+h2MLvtlLUxUbcylFNIgIYtMfcM1tk9DcXnp3beO/d/VFXxaGGWa/yVej7cUZfegcKZjP&#10;EhBItTMdNQq21cvNA4gQNRndO0IFXxhgVUyucp0Zd6FPPG9iI7iEQqYVtDEOmZShbtHqMHMDEnt7&#10;562OLH0jjdcXLre9TJPkXlrdEX9o9YBPLdaHzckqKLfVmIZh8f78sT76iFX5Vr2WSl1Px/UjiIhj&#10;/AvDDz6jQ8FMO3ciE0SvgIfE38veMr1luePQYnkHssjlf/riGwAA//8DAFBLAQItABQABgAIAAAA&#10;IQC2gziS/gAAAOEBAAATAAAAAAAAAAAAAAAAAAAAAABbQ29udGVudF9UeXBlc10ueG1sUEsBAi0A&#10;FAAGAAgAAAAhADj9If/WAAAAlAEAAAsAAAAAAAAAAAAAAAAALwEAAF9yZWxzLy5yZWxzUEsBAi0A&#10;FAAGAAgAAAAhAJt3A3uTAgAAXQUAAA4AAAAAAAAAAAAAAAAALgIAAGRycy9lMm9Eb2MueG1sUEsB&#10;Ai0AFAAGAAgAAAAhAD40ScrbAAAABQEAAA8AAAAAAAAAAAAAAAAA7QQAAGRycy9kb3ducmV2Lnht&#10;bFBLBQYAAAAABAAEAPMAAAD1BQAAAAA=&#10;" fillcolor="white [3201]" strokecolor="black [3200]" strokeweight="2pt">
            <v:path arrowok="t"/>
            <v:textbox>
              <w:txbxContent>
                <w:p w:rsidR="009721AB" w:rsidRPr="00E913F6" w:rsidRDefault="009721AB" w:rsidP="00921987">
                  <w:pPr>
                    <w:spacing w:line="312" w:lineRule="auto"/>
                    <w:ind w:left="1416" w:firstLine="708"/>
                    <w:rPr>
                      <w:color w:val="000000" w:themeColor="text1"/>
                      <w:sz w:val="48"/>
                    </w:rPr>
                  </w:pPr>
                  <w:r>
                    <w:rPr>
                      <w:color w:val="000000" w:themeColor="text1"/>
                      <w:sz w:val="48"/>
                    </w:rPr>
                    <w:t>TROISIEME</w:t>
                  </w:r>
                  <w:r w:rsidRPr="00E913F6">
                    <w:rPr>
                      <w:color w:val="000000" w:themeColor="text1"/>
                      <w:sz w:val="48"/>
                    </w:rPr>
                    <w:t xml:space="preserve"> PARTIE</w:t>
                  </w:r>
                </w:p>
                <w:p w:rsidR="009721AB" w:rsidRDefault="009721AB" w:rsidP="00921987">
                  <w:pPr>
                    <w:jc w:val="center"/>
                  </w:pPr>
                </w:p>
              </w:txbxContent>
            </v:textbox>
            <w10:wrap type="square" anchorx="margin" anchory="margin"/>
          </v:shape>
        </w:pict>
      </w:r>
      <w:r w:rsidR="00CA77BF" w:rsidRPr="00C65AC4">
        <w:rPr>
          <w:sz w:val="22"/>
        </w:rPr>
        <w:br w:type="page"/>
      </w:r>
    </w:p>
    <w:p w:rsidR="00ED18CA" w:rsidRDefault="00ED18CA" w:rsidP="00587784">
      <w:pPr>
        <w:spacing w:line="312" w:lineRule="auto"/>
      </w:pPr>
      <w:r w:rsidRPr="00533D86">
        <w:t xml:space="preserve">Le tableau </w:t>
      </w:r>
      <w:r w:rsidR="006D2B64">
        <w:t xml:space="preserve">3.4.2 </w:t>
      </w:r>
      <w:r w:rsidRPr="00533D86">
        <w:t>ci-après récapitule les dépenses courantes de santé par maladies</w:t>
      </w:r>
    </w:p>
    <w:p w:rsidR="00292BA2" w:rsidRDefault="00292BA2" w:rsidP="00292BA2">
      <w:pPr>
        <w:pStyle w:val="Lgende"/>
        <w:rPr>
          <w:color w:val="000000" w:themeColor="text1"/>
          <w:sz w:val="22"/>
          <w:szCs w:val="22"/>
        </w:rPr>
      </w:pPr>
      <w:bookmarkStart w:id="56" w:name="_Toc483991272"/>
      <w:r w:rsidRPr="006D2B64">
        <w:rPr>
          <w:color w:val="000000" w:themeColor="text1"/>
          <w:sz w:val="22"/>
          <w:szCs w:val="22"/>
        </w:rPr>
        <w:t xml:space="preserve">Tableau </w:t>
      </w:r>
      <w:r w:rsidR="00E72F8E">
        <w:rPr>
          <w:color w:val="000000" w:themeColor="text1"/>
          <w:sz w:val="22"/>
          <w:szCs w:val="22"/>
        </w:rPr>
        <w:fldChar w:fldCharType="begin"/>
      </w:r>
      <w:r>
        <w:rPr>
          <w:color w:val="000000" w:themeColor="text1"/>
          <w:sz w:val="22"/>
          <w:szCs w:val="22"/>
        </w:rPr>
        <w:instrText xml:space="preserve"> STYLEREF 2 \s </w:instrText>
      </w:r>
      <w:r w:rsidR="00E72F8E">
        <w:rPr>
          <w:color w:val="000000" w:themeColor="text1"/>
          <w:sz w:val="22"/>
          <w:szCs w:val="22"/>
        </w:rPr>
        <w:fldChar w:fldCharType="separate"/>
      </w:r>
      <w:r>
        <w:rPr>
          <w:noProof/>
          <w:color w:val="000000" w:themeColor="text1"/>
          <w:sz w:val="22"/>
          <w:szCs w:val="22"/>
        </w:rPr>
        <w:t>3.4</w:t>
      </w:r>
      <w:r w:rsidR="00E72F8E">
        <w:rPr>
          <w:color w:val="000000" w:themeColor="text1"/>
          <w:sz w:val="22"/>
          <w:szCs w:val="22"/>
        </w:rPr>
        <w:fldChar w:fldCharType="end"/>
      </w:r>
      <w:r>
        <w:rPr>
          <w:color w:val="000000" w:themeColor="text1"/>
          <w:sz w:val="22"/>
          <w:szCs w:val="22"/>
        </w:rPr>
        <w:t>.</w:t>
      </w:r>
      <w:r w:rsidR="00E72F8E">
        <w:rPr>
          <w:color w:val="000000" w:themeColor="text1"/>
          <w:sz w:val="22"/>
          <w:szCs w:val="22"/>
        </w:rPr>
        <w:fldChar w:fldCharType="begin"/>
      </w:r>
      <w:r>
        <w:rPr>
          <w:color w:val="000000" w:themeColor="text1"/>
          <w:sz w:val="22"/>
          <w:szCs w:val="22"/>
        </w:rPr>
        <w:instrText xml:space="preserve"> SEQ Tableau \* ARABIC \s 2 </w:instrText>
      </w:r>
      <w:r w:rsidR="00E72F8E">
        <w:rPr>
          <w:color w:val="000000" w:themeColor="text1"/>
          <w:sz w:val="22"/>
          <w:szCs w:val="22"/>
        </w:rPr>
        <w:fldChar w:fldCharType="separate"/>
      </w:r>
      <w:r>
        <w:rPr>
          <w:noProof/>
          <w:color w:val="000000" w:themeColor="text1"/>
          <w:sz w:val="22"/>
          <w:szCs w:val="22"/>
        </w:rPr>
        <w:t>2</w:t>
      </w:r>
      <w:r w:rsidR="00E72F8E">
        <w:rPr>
          <w:color w:val="000000" w:themeColor="text1"/>
          <w:sz w:val="22"/>
          <w:szCs w:val="22"/>
        </w:rPr>
        <w:fldChar w:fldCharType="end"/>
      </w:r>
      <w:r w:rsidRPr="006D2B64">
        <w:rPr>
          <w:color w:val="000000" w:themeColor="text1"/>
          <w:sz w:val="22"/>
          <w:szCs w:val="22"/>
        </w:rPr>
        <w:t>: Répartition des dépenses de santé selon les maladies/affections</w:t>
      </w:r>
      <w:r>
        <w:rPr>
          <w:color w:val="000000" w:themeColor="text1"/>
          <w:sz w:val="22"/>
          <w:szCs w:val="22"/>
        </w:rPr>
        <w:t xml:space="preserve"> en million de FCFA</w:t>
      </w:r>
      <w:bookmarkEnd w:id="56"/>
    </w:p>
    <w:tbl>
      <w:tblPr>
        <w:tblW w:w="8946" w:type="dxa"/>
        <w:tblInd w:w="55" w:type="dxa"/>
        <w:tblCellMar>
          <w:left w:w="70" w:type="dxa"/>
          <w:right w:w="70" w:type="dxa"/>
        </w:tblCellMar>
        <w:tblLook w:val="04A0"/>
      </w:tblPr>
      <w:tblGrid>
        <w:gridCol w:w="4693"/>
        <w:gridCol w:w="2693"/>
        <w:gridCol w:w="1560"/>
      </w:tblGrid>
      <w:tr w:rsidR="003C22A6" w:rsidRPr="003C22A6" w:rsidTr="00C63457">
        <w:trPr>
          <w:trHeight w:val="780"/>
        </w:trPr>
        <w:tc>
          <w:tcPr>
            <w:tcW w:w="4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Classification des maladies / affections</w:t>
            </w: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C22A6" w:rsidRPr="003C22A6" w:rsidRDefault="003C22A6" w:rsidP="003C22A6">
            <w:pPr>
              <w:autoSpaceDE/>
              <w:autoSpaceDN/>
              <w:adjustRightInd/>
              <w:spacing w:after="0" w:line="240" w:lineRule="auto"/>
              <w:jc w:val="center"/>
              <w:rPr>
                <w:rFonts w:eastAsia="Times New Roman"/>
                <w:b/>
                <w:lang w:eastAsia="fr-FR"/>
              </w:rPr>
            </w:pPr>
            <w:r w:rsidRPr="003C22A6">
              <w:rPr>
                <w:rFonts w:eastAsia="Times New Roman"/>
                <w:b/>
                <w:sz w:val="22"/>
                <w:szCs w:val="22"/>
                <w:lang w:eastAsia="fr-FR"/>
              </w:rPr>
              <w:t>Dépense courantes de santé</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C22A6" w:rsidRPr="003C22A6" w:rsidRDefault="003C22A6" w:rsidP="003C22A6">
            <w:pPr>
              <w:autoSpaceDE/>
              <w:autoSpaceDN/>
              <w:adjustRightInd/>
              <w:spacing w:after="0" w:line="240" w:lineRule="auto"/>
              <w:jc w:val="center"/>
              <w:rPr>
                <w:rFonts w:eastAsia="Times New Roman"/>
                <w:b/>
                <w:lang w:eastAsia="fr-FR"/>
              </w:rPr>
            </w:pPr>
            <w:r w:rsidRPr="003C22A6">
              <w:rPr>
                <w:rFonts w:eastAsia="Times New Roman"/>
                <w:b/>
                <w:sz w:val="22"/>
                <w:szCs w:val="22"/>
                <w:lang w:eastAsia="fr-FR"/>
              </w:rPr>
              <w:t>( %)</w:t>
            </w:r>
          </w:p>
        </w:tc>
      </w:tr>
      <w:tr w:rsidR="00E73CC2" w:rsidRPr="003C22A6" w:rsidTr="00C63457">
        <w:trPr>
          <w:trHeight w:val="276"/>
        </w:trPr>
        <w:tc>
          <w:tcPr>
            <w:tcW w:w="4693" w:type="dxa"/>
            <w:vMerge/>
            <w:tcBorders>
              <w:top w:val="single" w:sz="8" w:space="0" w:color="auto"/>
              <w:left w:val="single" w:sz="8" w:space="0" w:color="auto"/>
              <w:bottom w:val="single" w:sz="8" w:space="0" w:color="000000"/>
              <w:right w:val="single" w:sz="8" w:space="0" w:color="auto"/>
            </w:tcBorders>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p>
        </w:tc>
      </w:tr>
      <w:tr w:rsidR="00E73CC2" w:rsidRPr="003C22A6" w:rsidTr="00E73CC2">
        <w:trPr>
          <w:trHeight w:val="455"/>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VIH/SIDA</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13493,99</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3,36</w:t>
            </w:r>
          </w:p>
        </w:tc>
      </w:tr>
      <w:tr w:rsidR="00E73CC2" w:rsidRPr="003C22A6" w:rsidTr="00E73CC2">
        <w:trPr>
          <w:trHeight w:val="502"/>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Tuberculose</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7924,64</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1,97</w:t>
            </w:r>
          </w:p>
        </w:tc>
      </w:tr>
      <w:tr w:rsidR="003C22A6" w:rsidRPr="003C22A6" w:rsidTr="00C63457">
        <w:trPr>
          <w:trHeight w:val="525"/>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Paludisme</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121443,17</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30,26</w:t>
            </w:r>
          </w:p>
        </w:tc>
      </w:tr>
      <w:tr w:rsidR="00E73CC2" w:rsidRPr="003C22A6" w:rsidTr="00C63457">
        <w:trPr>
          <w:trHeight w:val="490"/>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Infections des voies respiratoires</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28436,45</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7,09</w:t>
            </w:r>
          </w:p>
        </w:tc>
      </w:tr>
      <w:tr w:rsidR="00E73CC2" w:rsidRPr="003C22A6" w:rsidTr="00E73CC2">
        <w:trPr>
          <w:trHeight w:val="617"/>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Maladies diarrhéiques</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8 067,21</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2,01</w:t>
            </w:r>
          </w:p>
        </w:tc>
      </w:tr>
      <w:tr w:rsidR="00E73CC2" w:rsidRPr="003C22A6" w:rsidTr="00E73CC2">
        <w:trPr>
          <w:trHeight w:val="579"/>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Maladies tropicales négligées</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1 884,45</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0,47</w:t>
            </w:r>
          </w:p>
        </w:tc>
      </w:tr>
      <w:tr w:rsidR="00E73CC2" w:rsidRPr="003C22A6" w:rsidTr="00C63457">
        <w:trPr>
          <w:trHeight w:val="550"/>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Maladies évitables par la vaccination</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19 741,94</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4,92</w:t>
            </w:r>
          </w:p>
        </w:tc>
      </w:tr>
      <w:tr w:rsidR="00E73CC2" w:rsidRPr="003C22A6" w:rsidTr="00E73CC2">
        <w:trPr>
          <w:trHeight w:val="549"/>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Maladies à Virus Ebola</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1 652,05</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0,41</w:t>
            </w:r>
          </w:p>
        </w:tc>
      </w:tr>
      <w:tr w:rsidR="00E73CC2" w:rsidRPr="003C22A6" w:rsidTr="00C31716">
        <w:trPr>
          <w:trHeight w:val="636"/>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Autres maladies, et maladies non spécifiées, infectieuses et parasitaires (n.c.a.)</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29 247,17</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7,29</w:t>
            </w:r>
          </w:p>
        </w:tc>
      </w:tr>
      <w:tr w:rsidR="00E73CC2" w:rsidRPr="003C22A6" w:rsidTr="00E73CC2">
        <w:trPr>
          <w:trHeight w:val="510"/>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Santé de la reproduction</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40052,38</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9,98</w:t>
            </w:r>
          </w:p>
        </w:tc>
      </w:tr>
      <w:tr w:rsidR="00E73CC2" w:rsidRPr="003C22A6" w:rsidTr="00E73CC2">
        <w:trPr>
          <w:trHeight w:val="559"/>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Carences nutritionnelles</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45 997,43</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11,46</w:t>
            </w:r>
          </w:p>
        </w:tc>
      </w:tr>
      <w:tr w:rsidR="00E73CC2" w:rsidRPr="003C22A6" w:rsidTr="00C63457">
        <w:trPr>
          <w:trHeight w:val="540"/>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Maladies non transmissibles</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36 983,59</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9,22</w:t>
            </w:r>
          </w:p>
        </w:tc>
      </w:tr>
      <w:tr w:rsidR="00E73CC2" w:rsidRPr="003C22A6" w:rsidTr="00E73CC2">
        <w:trPr>
          <w:trHeight w:val="394"/>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Traumatismes</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12 259,90</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3,05</w:t>
            </w:r>
          </w:p>
        </w:tc>
      </w:tr>
      <w:tr w:rsidR="00E73CC2" w:rsidRPr="003C22A6" w:rsidTr="00C63457">
        <w:trPr>
          <w:trHeight w:val="502"/>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Autres maladies/affections et maladies/affections non spécifiées (n.c.a.)</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34 126,01</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Cs w:val="0"/>
                <w:lang w:eastAsia="fr-FR"/>
              </w:rPr>
            </w:pPr>
            <w:r w:rsidRPr="003C22A6">
              <w:rPr>
                <w:rFonts w:eastAsia="Times New Roman"/>
                <w:bCs w:val="0"/>
                <w:sz w:val="22"/>
                <w:szCs w:val="22"/>
                <w:lang w:eastAsia="fr-FR"/>
              </w:rPr>
              <w:t>8,50</w:t>
            </w:r>
          </w:p>
        </w:tc>
      </w:tr>
      <w:tr w:rsidR="00E73CC2" w:rsidRPr="003C22A6" w:rsidTr="00E73CC2">
        <w:trPr>
          <w:trHeight w:val="466"/>
        </w:trPr>
        <w:tc>
          <w:tcPr>
            <w:tcW w:w="4693" w:type="dxa"/>
            <w:tcBorders>
              <w:top w:val="nil"/>
              <w:left w:val="single" w:sz="8" w:space="0" w:color="auto"/>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left"/>
              <w:rPr>
                <w:rFonts w:eastAsia="Times New Roman"/>
                <w:b/>
                <w:lang w:eastAsia="fr-FR"/>
              </w:rPr>
            </w:pPr>
            <w:r w:rsidRPr="003C22A6">
              <w:rPr>
                <w:rFonts w:eastAsia="Times New Roman"/>
                <w:b/>
                <w:sz w:val="22"/>
                <w:szCs w:val="22"/>
                <w:lang w:eastAsia="fr-FR"/>
              </w:rPr>
              <w:t>Ensemble</w:t>
            </w:r>
          </w:p>
        </w:tc>
        <w:tc>
          <w:tcPr>
            <w:tcW w:w="2693"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
                <w:lang w:eastAsia="fr-FR"/>
              </w:rPr>
            </w:pPr>
            <w:r w:rsidRPr="003C22A6">
              <w:rPr>
                <w:rFonts w:eastAsia="Times New Roman"/>
                <w:b/>
                <w:sz w:val="22"/>
                <w:szCs w:val="22"/>
                <w:lang w:eastAsia="fr-FR"/>
              </w:rPr>
              <w:t>401 310,38</w:t>
            </w:r>
          </w:p>
        </w:tc>
        <w:tc>
          <w:tcPr>
            <w:tcW w:w="1560" w:type="dxa"/>
            <w:tcBorders>
              <w:top w:val="nil"/>
              <w:left w:val="nil"/>
              <w:bottom w:val="single" w:sz="8" w:space="0" w:color="auto"/>
              <w:right w:val="single" w:sz="8" w:space="0" w:color="auto"/>
            </w:tcBorders>
            <w:shd w:val="clear" w:color="auto" w:fill="auto"/>
            <w:vAlign w:val="center"/>
            <w:hideMark/>
          </w:tcPr>
          <w:p w:rsidR="003C22A6" w:rsidRPr="003C22A6" w:rsidRDefault="003C22A6" w:rsidP="003C22A6">
            <w:pPr>
              <w:autoSpaceDE/>
              <w:autoSpaceDN/>
              <w:adjustRightInd/>
              <w:spacing w:after="0" w:line="240" w:lineRule="auto"/>
              <w:jc w:val="center"/>
              <w:rPr>
                <w:rFonts w:eastAsia="Times New Roman"/>
                <w:b/>
                <w:lang w:eastAsia="fr-FR"/>
              </w:rPr>
            </w:pPr>
            <w:r w:rsidRPr="003C22A6">
              <w:rPr>
                <w:rFonts w:eastAsia="Times New Roman"/>
                <w:b/>
                <w:sz w:val="22"/>
                <w:szCs w:val="22"/>
                <w:lang w:eastAsia="fr-FR"/>
              </w:rPr>
              <w:t>100</w:t>
            </w:r>
          </w:p>
        </w:tc>
      </w:tr>
    </w:tbl>
    <w:p w:rsidR="00CA77BF" w:rsidRPr="00533D86" w:rsidRDefault="00CA77BF" w:rsidP="00C31716">
      <w:pPr>
        <w:spacing w:before="240" w:line="312" w:lineRule="auto"/>
      </w:pPr>
      <w:r w:rsidRPr="00533D86">
        <w:t>Le</w:t>
      </w:r>
      <w:r w:rsidR="00FA287F">
        <w:t xml:space="preserve"> tableau ci-dessus </w:t>
      </w:r>
      <w:r w:rsidR="00BC0F9C">
        <w:t xml:space="preserve">fait </w:t>
      </w:r>
      <w:r w:rsidRPr="00533D86">
        <w:t xml:space="preserve">ressortir des dépenses liées aux principales maladies </w:t>
      </w:r>
      <w:r w:rsidR="00FA287F">
        <w:t xml:space="preserve">et affections </w:t>
      </w:r>
      <w:r w:rsidRPr="00533D86">
        <w:t>que sont </w:t>
      </w:r>
      <w:r w:rsidR="00FA287F">
        <w:t xml:space="preserve">entre autres </w:t>
      </w:r>
      <w:r w:rsidRPr="00533D86">
        <w:t>:</w:t>
      </w:r>
    </w:p>
    <w:p w:rsidR="00CA77BF" w:rsidRDefault="00CA77BF" w:rsidP="0053700E">
      <w:pPr>
        <w:pStyle w:val="Paragraphedeliste"/>
        <w:numPr>
          <w:ilvl w:val="0"/>
          <w:numId w:val="10"/>
        </w:numPr>
        <w:spacing w:line="312" w:lineRule="auto"/>
        <w:ind w:left="426"/>
      </w:pPr>
      <w:r w:rsidRPr="00533D86">
        <w:t xml:space="preserve">Le paludisme qui représente </w:t>
      </w:r>
      <w:r w:rsidR="00E82721" w:rsidRPr="003C22A6">
        <w:rPr>
          <w:rFonts w:eastAsia="Times New Roman"/>
          <w:bCs w:val="0"/>
          <w:sz w:val="22"/>
          <w:szCs w:val="22"/>
          <w:lang w:eastAsia="fr-FR"/>
        </w:rPr>
        <w:t>30,26</w:t>
      </w:r>
      <w:r w:rsidRPr="00533D86">
        <w:t>% des dépenses courantes de santé</w:t>
      </w:r>
      <w:r w:rsidR="003A01A0" w:rsidRPr="00533D86">
        <w:t xml:space="preserve"> et </w:t>
      </w:r>
      <w:r w:rsidR="00E82721">
        <w:t>57</w:t>
      </w:r>
      <w:r w:rsidR="00FA287F">
        <w:t>,</w:t>
      </w:r>
      <w:r w:rsidR="00E82721">
        <w:t>81</w:t>
      </w:r>
      <w:r w:rsidR="003A01A0" w:rsidRPr="00533D86">
        <w:t>% des dépenses des maladies infectieuses et parasitaires</w:t>
      </w:r>
      <w:r w:rsidR="00FA287F">
        <w:t xml:space="preserve"> (voir annexes)</w:t>
      </w:r>
      <w:r w:rsidRPr="00533D86">
        <w:t xml:space="preserve"> ;</w:t>
      </w:r>
    </w:p>
    <w:p w:rsidR="00FA287F" w:rsidRDefault="00FA287F" w:rsidP="0053700E">
      <w:pPr>
        <w:pStyle w:val="Paragraphedeliste"/>
        <w:numPr>
          <w:ilvl w:val="0"/>
          <w:numId w:val="10"/>
        </w:numPr>
        <w:spacing w:line="312" w:lineRule="auto"/>
        <w:ind w:left="426"/>
      </w:pPr>
      <w:r>
        <w:t>Les carences nutritionnelles 11,46 % du total</w:t>
      </w:r>
      <w:r w:rsidR="00345D4E">
        <w:t> ;</w:t>
      </w:r>
    </w:p>
    <w:p w:rsidR="00FA287F" w:rsidRDefault="00FA287F" w:rsidP="0053700E">
      <w:pPr>
        <w:pStyle w:val="Paragraphedeliste"/>
        <w:numPr>
          <w:ilvl w:val="0"/>
          <w:numId w:val="10"/>
        </w:numPr>
        <w:spacing w:line="312" w:lineRule="auto"/>
        <w:ind w:left="426"/>
      </w:pPr>
      <w:r>
        <w:t xml:space="preserve">Les infections des voies respiratoires </w:t>
      </w:r>
      <w:r w:rsidR="00E82721" w:rsidRPr="003C22A6">
        <w:rPr>
          <w:rFonts w:eastAsia="Times New Roman"/>
          <w:bCs w:val="0"/>
          <w:sz w:val="22"/>
          <w:szCs w:val="22"/>
          <w:lang w:eastAsia="fr-FR"/>
        </w:rPr>
        <w:t>7,09</w:t>
      </w:r>
      <w:r>
        <w:t>% du total</w:t>
      </w:r>
      <w:r w:rsidR="00345D4E">
        <w:t> ;</w:t>
      </w:r>
    </w:p>
    <w:p w:rsidR="00FA287F" w:rsidRPr="00533D86" w:rsidRDefault="00FA287F" w:rsidP="0053700E">
      <w:pPr>
        <w:pStyle w:val="Paragraphedeliste"/>
        <w:numPr>
          <w:ilvl w:val="0"/>
          <w:numId w:val="10"/>
        </w:numPr>
        <w:spacing w:line="312" w:lineRule="auto"/>
        <w:ind w:left="426"/>
      </w:pPr>
      <w:r>
        <w:t xml:space="preserve">Les affections liées à la santé de la reproduction </w:t>
      </w:r>
      <w:r w:rsidR="00E82721" w:rsidRPr="003C22A6">
        <w:rPr>
          <w:rFonts w:eastAsia="Times New Roman"/>
          <w:bCs w:val="0"/>
          <w:sz w:val="22"/>
          <w:szCs w:val="22"/>
          <w:lang w:eastAsia="fr-FR"/>
        </w:rPr>
        <w:t>9,98</w:t>
      </w:r>
      <w:r>
        <w:t>% du total</w:t>
      </w:r>
      <w:r w:rsidR="00345D4E">
        <w:t> ;</w:t>
      </w:r>
    </w:p>
    <w:p w:rsidR="00CA77BF" w:rsidRPr="00533D86" w:rsidRDefault="00CA77BF" w:rsidP="0053700E">
      <w:pPr>
        <w:pStyle w:val="Paragraphedeliste"/>
        <w:numPr>
          <w:ilvl w:val="0"/>
          <w:numId w:val="10"/>
        </w:numPr>
        <w:spacing w:line="312" w:lineRule="auto"/>
        <w:ind w:left="426"/>
      </w:pPr>
      <w:r w:rsidRPr="00533D86">
        <w:t xml:space="preserve">Le </w:t>
      </w:r>
      <w:r w:rsidR="00E36A42" w:rsidRPr="00533D86">
        <w:t xml:space="preserve">VIH et </w:t>
      </w:r>
      <w:r w:rsidR="00FA287F">
        <w:t>le</w:t>
      </w:r>
      <w:r w:rsidR="00B32172">
        <w:t xml:space="preserve"> </w:t>
      </w:r>
      <w:r w:rsidR="00E36A42" w:rsidRPr="00533D86">
        <w:t>SIDA</w:t>
      </w:r>
      <w:r w:rsidR="00B32172">
        <w:t xml:space="preserve"> </w:t>
      </w:r>
      <w:r w:rsidR="003A01A0" w:rsidRPr="00533D86">
        <w:t xml:space="preserve">qui représente </w:t>
      </w:r>
      <w:r w:rsidR="00E82721" w:rsidRPr="003C22A6">
        <w:rPr>
          <w:rFonts w:eastAsia="Times New Roman"/>
          <w:bCs w:val="0"/>
          <w:sz w:val="22"/>
          <w:szCs w:val="22"/>
          <w:lang w:eastAsia="fr-FR"/>
        </w:rPr>
        <w:t>3,36</w:t>
      </w:r>
      <w:r w:rsidR="003A01A0" w:rsidRPr="00533D86">
        <w:t>% des dépenses courantes de santé</w:t>
      </w:r>
      <w:r w:rsidR="00FA287F">
        <w:t>.</w:t>
      </w:r>
    </w:p>
    <w:p w:rsidR="00EA2F93" w:rsidRPr="0053700E" w:rsidRDefault="00567891" w:rsidP="00947090">
      <w:pPr>
        <w:pStyle w:val="Titre1"/>
        <w:ind w:left="720" w:hanging="360"/>
      </w:pPr>
      <w:r>
        <w:t xml:space="preserve">4. </w:t>
      </w:r>
      <w:bookmarkStart w:id="57" w:name="_Toc413941246"/>
      <w:r w:rsidR="00956234">
        <w:t>Ré</w:t>
      </w:r>
      <w:r w:rsidR="00956234" w:rsidRPr="00533D86">
        <w:t>sultat</w:t>
      </w:r>
      <w:r w:rsidR="00956234">
        <w:t>s des dé</w:t>
      </w:r>
      <w:r w:rsidR="00956234" w:rsidRPr="00533D86">
        <w:t>penses du paludisme</w:t>
      </w:r>
      <w:bookmarkEnd w:id="57"/>
    </w:p>
    <w:p w:rsidR="006C002B" w:rsidRPr="00533D86" w:rsidRDefault="00567891" w:rsidP="00947090">
      <w:pPr>
        <w:pStyle w:val="Titre2"/>
        <w:ind w:left="1080" w:hanging="720"/>
        <w:rPr>
          <w:noProof/>
        </w:rPr>
      </w:pPr>
      <w:bookmarkStart w:id="58" w:name="_Toc413941247"/>
      <w:r>
        <w:rPr>
          <w:noProof/>
        </w:rPr>
        <w:t xml:space="preserve">4.1. </w:t>
      </w:r>
      <w:r w:rsidR="006C002B" w:rsidRPr="00533D86">
        <w:rPr>
          <w:noProof/>
        </w:rPr>
        <w:t>Aperçu sur la situation du paludisme au Mali</w:t>
      </w:r>
      <w:bookmarkEnd w:id="58"/>
    </w:p>
    <w:p w:rsidR="00EA2F93" w:rsidRPr="00533D86" w:rsidRDefault="006C002B" w:rsidP="00587784">
      <w:pPr>
        <w:spacing w:line="312" w:lineRule="auto"/>
        <w:rPr>
          <w:lang w:eastAsia="fr-FR"/>
        </w:rPr>
      </w:pPr>
      <w:r w:rsidRPr="00533D86">
        <w:rPr>
          <w:lang w:eastAsia="fr-FR"/>
        </w:rPr>
        <w:t xml:space="preserve">Le paludisme constitue l'une des premières causes de morbidité et de mortalité au Mali. Selon l’annuaire  du SLIS </w:t>
      </w:r>
      <w:r w:rsidR="00E42063" w:rsidRPr="00533D86">
        <w:rPr>
          <w:lang w:eastAsia="fr-FR"/>
        </w:rPr>
        <w:t>201</w:t>
      </w:r>
      <w:r w:rsidR="00E42063">
        <w:rPr>
          <w:lang w:eastAsia="fr-FR"/>
        </w:rPr>
        <w:t>4</w:t>
      </w:r>
      <w:r w:rsidRPr="00533D86">
        <w:rPr>
          <w:lang w:eastAsia="fr-FR"/>
        </w:rPr>
        <w:t xml:space="preserve">, le taux d'incidence du paludisme grave (cas cliniques) est de </w:t>
      </w:r>
      <w:r w:rsidR="00E42063">
        <w:rPr>
          <w:lang w:eastAsia="fr-FR"/>
        </w:rPr>
        <w:t>46</w:t>
      </w:r>
      <w:r w:rsidR="0053700E">
        <w:rPr>
          <w:lang w:eastAsia="fr-FR"/>
        </w:rPr>
        <w:t xml:space="preserve">,69 </w:t>
      </w:r>
      <w:r w:rsidRPr="00533D86">
        <w:rPr>
          <w:lang w:eastAsia="fr-FR"/>
        </w:rPr>
        <w:t xml:space="preserve">‰ et celui du paludisme simple est de  </w:t>
      </w:r>
      <w:r w:rsidR="00E42063">
        <w:rPr>
          <w:lang w:eastAsia="fr-FR"/>
        </w:rPr>
        <w:t>103</w:t>
      </w:r>
      <w:r w:rsidRPr="00533D86">
        <w:rPr>
          <w:lang w:eastAsia="fr-FR"/>
        </w:rPr>
        <w:t>,</w:t>
      </w:r>
      <w:r w:rsidR="00E42063">
        <w:rPr>
          <w:lang w:eastAsia="fr-FR"/>
        </w:rPr>
        <w:t>39</w:t>
      </w:r>
      <w:r w:rsidRPr="00533D86">
        <w:rPr>
          <w:lang w:eastAsia="fr-FR"/>
        </w:rPr>
        <w:t>‰.</w:t>
      </w:r>
      <w:r w:rsidR="00EA2F93" w:rsidRPr="00533D86">
        <w:rPr>
          <w:lang w:eastAsia="fr-FR"/>
        </w:rPr>
        <w:t xml:space="preserve">Les enfants de moins de cinq ans, payent le plus lourd tribut à cette maladie </w:t>
      </w:r>
      <w:r w:rsidR="00EA2F93" w:rsidRPr="0053700E">
        <w:rPr>
          <w:lang w:eastAsia="fr-FR"/>
        </w:rPr>
        <w:t>[EDSM-V 2012-2013]</w:t>
      </w:r>
      <w:r w:rsidR="00EA2F93" w:rsidRPr="00533D86">
        <w:rPr>
          <w:lang w:eastAsia="fr-FR"/>
        </w:rPr>
        <w:t>.</w:t>
      </w:r>
    </w:p>
    <w:p w:rsidR="006C002B" w:rsidRPr="00533D86" w:rsidRDefault="006C002B" w:rsidP="00587784">
      <w:pPr>
        <w:spacing w:line="312" w:lineRule="auto"/>
        <w:rPr>
          <w:lang w:eastAsia="fr-FR"/>
        </w:rPr>
      </w:pPr>
      <w:r w:rsidRPr="00533D86">
        <w:rPr>
          <w:lang w:eastAsia="fr-FR"/>
        </w:rPr>
        <w:t>Selon l’EDSM-V 2012-2013, près de trois enfants de moins de cinq ans sur quatre avaient dormi sous une moustiquaire la nuit précédant l’enquête (73 %), dans la majorité des cas sous une MIILDA (67 %). La proportion des femmes enceintes dormant sous une MII était de 73 %, et dans la majorité des cas, la MII était une MIILDA (72 %).</w:t>
      </w:r>
    </w:p>
    <w:p w:rsidR="006C002B" w:rsidRPr="00533D86" w:rsidRDefault="006C002B" w:rsidP="00587784">
      <w:pPr>
        <w:spacing w:line="312" w:lineRule="auto"/>
        <w:rPr>
          <w:lang w:eastAsia="fr-FR"/>
        </w:rPr>
      </w:pPr>
      <w:r w:rsidRPr="00533D86">
        <w:rPr>
          <w:lang w:eastAsia="fr-FR"/>
        </w:rPr>
        <w:t>La prévalence palustre parmi les enfants âgés de 6-59 mois est estimée à 52 %. Les résultats selon le milieu de résidence font apparaître une prévalence du paludisme 3,5 fois plus élevée parmi les enfants du milieu rural que ceux du milieu urbain (60 % contre17 %) [EDSM-V 2012-2013]. Le défi de la lutte est l'atteinte de zéro décès lié au paludisme d'ici à l'an 2015 et au-delà. Pour relever ce défi, les interventions prioritaires suivantes ont été retenues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la couverture universelle en moustiquaires imprégnées d'insecticide à longue durée (MIILD) (une  moustiquaire pour deux personnes) et en médicaments anti paludique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la couverture universelle en prise en charge des cas de paludisme (diagnostic et traitement)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 xml:space="preserve">la poursuite de la prévention du paludisme chez les populations cibles notamment à travers le </w:t>
      </w:r>
      <w:r w:rsidR="003A01A0" w:rsidRPr="00533D86">
        <w:rPr>
          <w:lang w:eastAsia="fr-FR"/>
        </w:rPr>
        <w:t>traitement préventif intermittent (</w:t>
      </w:r>
      <w:r w:rsidRPr="00533D86">
        <w:rPr>
          <w:lang w:eastAsia="fr-FR"/>
        </w:rPr>
        <w:t>TPI</w:t>
      </w:r>
      <w:r w:rsidR="003A01A0" w:rsidRPr="00533D86">
        <w:rPr>
          <w:lang w:eastAsia="fr-FR"/>
        </w:rPr>
        <w:t>)</w:t>
      </w:r>
      <w:r w:rsidRPr="00533D86">
        <w:rPr>
          <w:lang w:eastAsia="fr-FR"/>
        </w:rPr>
        <w:t xml:space="preserve"> et le </w:t>
      </w:r>
      <w:r w:rsidR="000F43BD" w:rsidRPr="00533D86">
        <w:rPr>
          <w:lang w:eastAsia="fr-FR"/>
        </w:rPr>
        <w:t xml:space="preserve">traitement préventif saisonnier chez les enfants (TPS) ;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le renforcement de la lutte anti vectorielle dans le volet pulvérisation intra domiciliaire (PID) et anti larvaire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le renforcement des capacités techniques des formations sanitaires pour le diagnostic et le traitement du paludisme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la poursuite de la gratuité de la prise en charge des femmes enceintes et des enfants de 0 à 5 ans tout en assurant son intégration dans le système en place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le renforcement de la recherche opérationnelle (antipaludiques, vaccins, MI</w:t>
      </w:r>
      <w:r w:rsidR="000F43BD" w:rsidRPr="00533D86">
        <w:rPr>
          <w:lang w:eastAsia="fr-FR"/>
        </w:rPr>
        <w:t>I</w:t>
      </w:r>
      <w:r w:rsidRPr="00533D86">
        <w:rPr>
          <w:lang w:eastAsia="fr-FR"/>
        </w:rPr>
        <w:t>LD, Pré transfert, adhésion des prestataires aux Politiques Normes et Procédures (PNP), outils moléculaires simples et efficients de surveillance de l'indice de portage du plasmodium et de la diffusion de la résistance aux médicaments et insecticides et autres directives etc.)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le renforcement de l'information, l'éducation et la communication sur le fardeau économique (perte de productivité des entreprises), social (journées de bonne santé perdues) et scolaire (retard scolaire)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 xml:space="preserve">le renforcement de la surveillance, monitoring et évaluation (SME) surtout dans les sites sentinelles du </w:t>
      </w:r>
      <w:r w:rsidR="00903896" w:rsidRPr="00533D86">
        <w:rPr>
          <w:lang w:eastAsia="fr-FR"/>
        </w:rPr>
        <w:t>Programme National de Lutte contre le Paludisme (</w:t>
      </w:r>
      <w:r w:rsidRPr="00533D86">
        <w:rPr>
          <w:lang w:eastAsia="fr-FR"/>
        </w:rPr>
        <w:t>PNLP</w:t>
      </w:r>
      <w:r w:rsidR="00903896" w:rsidRPr="00533D86">
        <w:rPr>
          <w:lang w:eastAsia="fr-FR"/>
        </w:rPr>
        <w:t>)</w:t>
      </w:r>
      <w:r w:rsidRPr="00533D86">
        <w:rPr>
          <w:lang w:eastAsia="fr-FR"/>
        </w:rPr>
        <w:t>.</w:t>
      </w:r>
    </w:p>
    <w:p w:rsidR="006C002B" w:rsidRPr="00533D86" w:rsidRDefault="00567891" w:rsidP="00947090">
      <w:pPr>
        <w:pStyle w:val="Titre2"/>
        <w:ind w:left="1080" w:hanging="720"/>
        <w:rPr>
          <w:noProof/>
        </w:rPr>
      </w:pPr>
      <w:bookmarkStart w:id="59" w:name="_Toc413941248"/>
      <w:r>
        <w:rPr>
          <w:noProof/>
        </w:rPr>
        <w:t xml:space="preserve">4.2. </w:t>
      </w:r>
      <w:r w:rsidR="006C002B" w:rsidRPr="00533D86">
        <w:rPr>
          <w:noProof/>
        </w:rPr>
        <w:t>Recette</w:t>
      </w:r>
      <w:r w:rsidR="00956234">
        <w:rPr>
          <w:noProof/>
        </w:rPr>
        <w:t>s</w:t>
      </w:r>
      <w:r w:rsidR="006C002B" w:rsidRPr="00533D86">
        <w:rPr>
          <w:noProof/>
        </w:rPr>
        <w:t xml:space="preserve"> de</w:t>
      </w:r>
      <w:r w:rsidR="00956234">
        <w:rPr>
          <w:noProof/>
        </w:rPr>
        <w:t>s</w:t>
      </w:r>
      <w:r w:rsidR="006C002B" w:rsidRPr="00533D86">
        <w:rPr>
          <w:noProof/>
        </w:rPr>
        <w:t xml:space="preserve"> regime</w:t>
      </w:r>
      <w:r w:rsidR="00956234">
        <w:rPr>
          <w:noProof/>
        </w:rPr>
        <w:t>s</w:t>
      </w:r>
      <w:r w:rsidR="006C002B" w:rsidRPr="00533D86">
        <w:rPr>
          <w:noProof/>
        </w:rPr>
        <w:t xml:space="preserve"> de financement des dépenses du paludisme</w:t>
      </w:r>
      <w:bookmarkEnd w:id="59"/>
    </w:p>
    <w:p w:rsidR="00877042" w:rsidRDefault="006D2B64" w:rsidP="00587784">
      <w:pPr>
        <w:spacing w:line="312" w:lineRule="auto"/>
        <w:rPr>
          <w:noProof/>
          <w:lang w:eastAsia="fr-FR"/>
        </w:rPr>
      </w:pPr>
      <w:r>
        <w:rPr>
          <w:noProof/>
          <w:lang w:eastAsia="fr-FR"/>
        </w:rPr>
        <w:t xml:space="preserve">Le tableau </w:t>
      </w:r>
      <w:r w:rsidR="00072C26">
        <w:rPr>
          <w:noProof/>
          <w:lang w:eastAsia="fr-FR"/>
        </w:rPr>
        <w:t xml:space="preserve">4.2.1 </w:t>
      </w:r>
      <w:r w:rsidR="00DB39DD" w:rsidRPr="00533D86">
        <w:rPr>
          <w:noProof/>
          <w:lang w:eastAsia="fr-FR"/>
        </w:rPr>
        <w:t>récapitule les dépenses enregistrées dans la lut</w:t>
      </w:r>
      <w:r w:rsidR="0053700E">
        <w:rPr>
          <w:noProof/>
          <w:lang w:eastAsia="fr-FR"/>
        </w:rPr>
        <w:t xml:space="preserve">te contre le paludisme en </w:t>
      </w:r>
      <w:r w:rsidR="001637FA">
        <w:rPr>
          <w:noProof/>
          <w:lang w:eastAsia="fr-FR"/>
        </w:rPr>
        <w:t>2014</w:t>
      </w:r>
      <w:r w:rsidR="00CC4E00">
        <w:rPr>
          <w:noProof/>
          <w:lang w:eastAsia="fr-FR"/>
        </w:rPr>
        <w:t>.</w:t>
      </w:r>
    </w:p>
    <w:p w:rsidR="006C002B" w:rsidRDefault="006D2B64" w:rsidP="006D2B64">
      <w:pPr>
        <w:pStyle w:val="Lgende"/>
        <w:rPr>
          <w:color w:val="000000" w:themeColor="text1"/>
          <w:sz w:val="22"/>
          <w:szCs w:val="22"/>
          <w:lang w:eastAsia="fr-FR"/>
        </w:rPr>
      </w:pPr>
      <w:bookmarkStart w:id="60" w:name="_Toc483991273"/>
      <w:r w:rsidRPr="006D2B64">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4.2</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1</w:t>
      </w:r>
      <w:r w:rsidR="00E72F8E">
        <w:rPr>
          <w:color w:val="000000" w:themeColor="text1"/>
          <w:sz w:val="22"/>
          <w:szCs w:val="22"/>
        </w:rPr>
        <w:fldChar w:fldCharType="end"/>
      </w:r>
      <w:r w:rsidR="006C002B" w:rsidRPr="006D2B64">
        <w:rPr>
          <w:b/>
          <w:color w:val="000000" w:themeColor="text1"/>
          <w:sz w:val="22"/>
          <w:szCs w:val="22"/>
          <w:lang w:eastAsia="fr-FR"/>
        </w:rPr>
        <w:t> :</w:t>
      </w:r>
      <w:r w:rsidR="006C002B" w:rsidRPr="006D2B64">
        <w:rPr>
          <w:color w:val="000000" w:themeColor="text1"/>
          <w:sz w:val="22"/>
          <w:szCs w:val="22"/>
          <w:lang w:eastAsia="fr-FR"/>
        </w:rPr>
        <w:t xml:space="preserve"> Répartition des dépenses de santé par recette</w:t>
      </w:r>
      <w:r w:rsidRPr="006D2B64">
        <w:rPr>
          <w:color w:val="000000" w:themeColor="text1"/>
          <w:sz w:val="22"/>
          <w:szCs w:val="22"/>
          <w:lang w:eastAsia="fr-FR"/>
        </w:rPr>
        <w:t>s</w:t>
      </w:r>
      <w:r w:rsidR="006C002B" w:rsidRPr="006D2B64">
        <w:rPr>
          <w:color w:val="000000" w:themeColor="text1"/>
          <w:sz w:val="22"/>
          <w:szCs w:val="22"/>
          <w:lang w:eastAsia="fr-FR"/>
        </w:rPr>
        <w:t xml:space="preserve"> de</w:t>
      </w:r>
      <w:r w:rsidRPr="006D2B64">
        <w:rPr>
          <w:color w:val="000000" w:themeColor="text1"/>
          <w:sz w:val="22"/>
          <w:szCs w:val="22"/>
          <w:lang w:eastAsia="fr-FR"/>
        </w:rPr>
        <w:t>s</w:t>
      </w:r>
      <w:r w:rsidR="006C002B" w:rsidRPr="006D2B64">
        <w:rPr>
          <w:color w:val="000000" w:themeColor="text1"/>
          <w:sz w:val="22"/>
          <w:szCs w:val="22"/>
          <w:lang w:eastAsia="fr-FR"/>
        </w:rPr>
        <w:t xml:space="preserve"> régime</w:t>
      </w:r>
      <w:r w:rsidRPr="006D2B64">
        <w:rPr>
          <w:color w:val="000000" w:themeColor="text1"/>
          <w:sz w:val="22"/>
          <w:szCs w:val="22"/>
          <w:lang w:eastAsia="fr-FR"/>
        </w:rPr>
        <w:t>s</w:t>
      </w:r>
      <w:r w:rsidR="006C002B" w:rsidRPr="006D2B64">
        <w:rPr>
          <w:color w:val="000000" w:themeColor="text1"/>
          <w:sz w:val="22"/>
          <w:szCs w:val="22"/>
          <w:lang w:eastAsia="fr-FR"/>
        </w:rPr>
        <w:t xml:space="preserve"> de financement</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16"/>
        <w:gridCol w:w="1701"/>
        <w:gridCol w:w="829"/>
      </w:tblGrid>
      <w:tr w:rsidR="00047313" w:rsidRPr="00E11659" w:rsidTr="00C31716">
        <w:trPr>
          <w:trHeight w:val="315"/>
        </w:trPr>
        <w:tc>
          <w:tcPr>
            <w:tcW w:w="3675" w:type="pct"/>
            <w:shd w:val="clear" w:color="auto" w:fill="auto"/>
            <w:noWrap/>
            <w:vAlign w:val="center"/>
          </w:tcPr>
          <w:p w:rsidR="00047313" w:rsidRPr="00E11659" w:rsidRDefault="00047313" w:rsidP="00047313">
            <w:pPr>
              <w:autoSpaceDE/>
              <w:autoSpaceDN/>
              <w:adjustRightInd/>
              <w:spacing w:after="0" w:line="240" w:lineRule="auto"/>
              <w:jc w:val="left"/>
              <w:rPr>
                <w:rFonts w:eastAsia="Times New Roman"/>
                <w:b/>
                <w:lang w:eastAsia="fr-FR"/>
              </w:rPr>
            </w:pPr>
            <w:r w:rsidRPr="00E11659">
              <w:rPr>
                <w:rFonts w:eastAsia="Times New Roman"/>
                <w:b/>
                <w:sz w:val="22"/>
                <w:szCs w:val="22"/>
                <w:lang w:eastAsia="fr-FR"/>
              </w:rPr>
              <w:t>Recettes des régimes de financement</w:t>
            </w:r>
          </w:p>
        </w:tc>
        <w:tc>
          <w:tcPr>
            <w:tcW w:w="891" w:type="pct"/>
            <w:shd w:val="clear" w:color="auto" w:fill="auto"/>
            <w:noWrap/>
            <w:vAlign w:val="center"/>
          </w:tcPr>
          <w:p w:rsidR="00047313" w:rsidRPr="00E11659" w:rsidRDefault="00047313" w:rsidP="00047313">
            <w:pPr>
              <w:autoSpaceDE/>
              <w:autoSpaceDN/>
              <w:adjustRightInd/>
              <w:spacing w:after="0" w:line="240" w:lineRule="auto"/>
              <w:jc w:val="center"/>
              <w:rPr>
                <w:rFonts w:eastAsia="Times New Roman"/>
                <w:b/>
                <w:lang w:eastAsia="fr-FR"/>
              </w:rPr>
            </w:pPr>
            <w:r w:rsidRPr="00E11659">
              <w:rPr>
                <w:rFonts w:eastAsia="Times New Roman"/>
                <w:b/>
                <w:sz w:val="22"/>
                <w:szCs w:val="22"/>
                <w:lang w:eastAsia="fr-FR"/>
              </w:rPr>
              <w:t>Dépenses</w:t>
            </w:r>
          </w:p>
        </w:tc>
        <w:tc>
          <w:tcPr>
            <w:tcW w:w="434" w:type="pct"/>
            <w:shd w:val="clear" w:color="auto" w:fill="auto"/>
            <w:noWrap/>
            <w:vAlign w:val="center"/>
          </w:tcPr>
          <w:p w:rsidR="00047313" w:rsidRPr="00E11659" w:rsidRDefault="00047313" w:rsidP="00047313">
            <w:pPr>
              <w:autoSpaceDE/>
              <w:autoSpaceDN/>
              <w:adjustRightInd/>
              <w:spacing w:after="0" w:line="240" w:lineRule="auto"/>
              <w:jc w:val="center"/>
              <w:rPr>
                <w:rFonts w:ascii="Calibri" w:eastAsia="Times New Roman" w:hAnsi="Calibri"/>
                <w:b/>
                <w:lang w:eastAsia="fr-FR"/>
              </w:rPr>
            </w:pPr>
            <w:r w:rsidRPr="00E11659">
              <w:rPr>
                <w:rFonts w:ascii="Calibri" w:eastAsia="Times New Roman" w:hAnsi="Calibri"/>
                <w:b/>
                <w:sz w:val="22"/>
                <w:szCs w:val="22"/>
                <w:lang w:eastAsia="fr-FR"/>
              </w:rPr>
              <w:t>%</w:t>
            </w:r>
          </w:p>
        </w:tc>
      </w:tr>
      <w:tr w:rsidR="00047313" w:rsidRPr="00E11659" w:rsidTr="00C31716">
        <w:trPr>
          <w:trHeight w:val="315"/>
        </w:trPr>
        <w:tc>
          <w:tcPr>
            <w:tcW w:w="3675" w:type="pct"/>
            <w:shd w:val="clear" w:color="auto" w:fill="auto"/>
            <w:noWrap/>
            <w:vAlign w:val="center"/>
          </w:tcPr>
          <w:p w:rsidR="00047313" w:rsidRPr="00E11659" w:rsidRDefault="00047313" w:rsidP="00047313">
            <w:pPr>
              <w:autoSpaceDE/>
              <w:autoSpaceDN/>
              <w:adjustRightInd/>
              <w:spacing w:after="0" w:line="240" w:lineRule="auto"/>
              <w:jc w:val="left"/>
              <w:rPr>
                <w:rFonts w:eastAsia="Times New Roman"/>
                <w:lang w:eastAsia="fr-FR"/>
              </w:rPr>
            </w:pPr>
            <w:r w:rsidRPr="00E11659">
              <w:rPr>
                <w:rFonts w:eastAsia="Times New Roman"/>
                <w:sz w:val="22"/>
                <w:szCs w:val="22"/>
                <w:lang w:eastAsia="fr-FR"/>
              </w:rPr>
              <w:t>Transferts issus des revenus nationaux de l'administration publique (alloués à la santé)</w:t>
            </w:r>
          </w:p>
        </w:tc>
        <w:tc>
          <w:tcPr>
            <w:tcW w:w="891" w:type="pct"/>
            <w:shd w:val="clear" w:color="auto" w:fill="auto"/>
            <w:noWrap/>
            <w:vAlign w:val="center"/>
          </w:tcPr>
          <w:p w:rsidR="00047313" w:rsidRPr="00E11659" w:rsidRDefault="00047313" w:rsidP="00047313">
            <w:pPr>
              <w:autoSpaceDE/>
              <w:autoSpaceDN/>
              <w:adjustRightInd/>
              <w:spacing w:after="0" w:line="240" w:lineRule="auto"/>
              <w:jc w:val="center"/>
              <w:rPr>
                <w:rFonts w:eastAsia="Times New Roman"/>
                <w:lang w:eastAsia="fr-FR"/>
              </w:rPr>
            </w:pPr>
            <w:r w:rsidRPr="00E11659">
              <w:rPr>
                <w:rFonts w:eastAsia="Times New Roman"/>
                <w:sz w:val="22"/>
                <w:szCs w:val="22"/>
                <w:lang w:eastAsia="fr-FR"/>
              </w:rPr>
              <w:t>13 933,01</w:t>
            </w:r>
          </w:p>
        </w:tc>
        <w:tc>
          <w:tcPr>
            <w:tcW w:w="434" w:type="pct"/>
            <w:shd w:val="clear" w:color="auto" w:fill="auto"/>
            <w:noWrap/>
            <w:vAlign w:val="center"/>
          </w:tcPr>
          <w:p w:rsidR="00047313" w:rsidRPr="00E11659" w:rsidRDefault="00047313" w:rsidP="00047313">
            <w:pPr>
              <w:autoSpaceDE/>
              <w:autoSpaceDN/>
              <w:adjustRightInd/>
              <w:spacing w:after="0" w:line="240" w:lineRule="auto"/>
              <w:jc w:val="center"/>
              <w:rPr>
                <w:rFonts w:ascii="Calibri" w:eastAsia="Times New Roman" w:hAnsi="Calibri"/>
                <w:lang w:eastAsia="fr-FR"/>
              </w:rPr>
            </w:pPr>
            <w:r w:rsidRPr="00E11659">
              <w:rPr>
                <w:rFonts w:ascii="Calibri" w:eastAsia="Times New Roman" w:hAnsi="Calibri"/>
                <w:sz w:val="22"/>
                <w:szCs w:val="22"/>
                <w:lang w:eastAsia="fr-FR"/>
              </w:rPr>
              <w:t>11,47</w:t>
            </w:r>
          </w:p>
        </w:tc>
      </w:tr>
      <w:tr w:rsidR="00047313" w:rsidRPr="00E11659" w:rsidTr="00C31716">
        <w:trPr>
          <w:trHeight w:val="315"/>
        </w:trPr>
        <w:tc>
          <w:tcPr>
            <w:tcW w:w="3675" w:type="pct"/>
            <w:shd w:val="clear" w:color="auto" w:fill="auto"/>
            <w:noWrap/>
            <w:vAlign w:val="center"/>
          </w:tcPr>
          <w:p w:rsidR="00047313" w:rsidRPr="00E11659" w:rsidRDefault="00047313" w:rsidP="00047313">
            <w:pPr>
              <w:autoSpaceDE/>
              <w:autoSpaceDN/>
              <w:adjustRightInd/>
              <w:spacing w:after="0" w:line="240" w:lineRule="auto"/>
              <w:jc w:val="left"/>
              <w:rPr>
                <w:rFonts w:eastAsia="Times New Roman"/>
                <w:lang w:eastAsia="fr-FR"/>
              </w:rPr>
            </w:pPr>
            <w:r w:rsidRPr="00E11659">
              <w:rPr>
                <w:rFonts w:eastAsia="Times New Roman"/>
                <w:sz w:val="22"/>
                <w:szCs w:val="22"/>
                <w:lang w:eastAsia="fr-FR"/>
              </w:rPr>
              <w:t>Transferts d'origine étrangère distribués par l'administration publique</w:t>
            </w:r>
          </w:p>
        </w:tc>
        <w:tc>
          <w:tcPr>
            <w:tcW w:w="891" w:type="pct"/>
            <w:shd w:val="clear" w:color="auto" w:fill="auto"/>
            <w:noWrap/>
            <w:vAlign w:val="center"/>
          </w:tcPr>
          <w:p w:rsidR="00047313" w:rsidRPr="00E11659" w:rsidRDefault="00047313" w:rsidP="00047313">
            <w:pPr>
              <w:autoSpaceDE/>
              <w:autoSpaceDN/>
              <w:adjustRightInd/>
              <w:spacing w:after="0" w:line="240" w:lineRule="auto"/>
              <w:jc w:val="center"/>
              <w:rPr>
                <w:rFonts w:eastAsia="Times New Roman"/>
                <w:lang w:eastAsia="fr-FR"/>
              </w:rPr>
            </w:pPr>
            <w:r w:rsidRPr="00E11659">
              <w:rPr>
                <w:rFonts w:eastAsia="Times New Roman"/>
                <w:sz w:val="22"/>
                <w:szCs w:val="22"/>
                <w:lang w:eastAsia="fr-FR"/>
              </w:rPr>
              <w:t>4 786,48</w:t>
            </w:r>
          </w:p>
        </w:tc>
        <w:tc>
          <w:tcPr>
            <w:tcW w:w="434" w:type="pct"/>
            <w:shd w:val="clear" w:color="auto" w:fill="auto"/>
            <w:noWrap/>
            <w:vAlign w:val="center"/>
          </w:tcPr>
          <w:p w:rsidR="00047313" w:rsidRPr="00E11659" w:rsidRDefault="00047313" w:rsidP="00047313">
            <w:pPr>
              <w:autoSpaceDE/>
              <w:autoSpaceDN/>
              <w:adjustRightInd/>
              <w:spacing w:after="0" w:line="240" w:lineRule="auto"/>
              <w:jc w:val="center"/>
              <w:rPr>
                <w:rFonts w:ascii="Calibri" w:eastAsia="Times New Roman" w:hAnsi="Calibri"/>
                <w:lang w:eastAsia="fr-FR"/>
              </w:rPr>
            </w:pPr>
            <w:r w:rsidRPr="00E11659">
              <w:rPr>
                <w:rFonts w:ascii="Calibri" w:eastAsia="Times New Roman" w:hAnsi="Calibri"/>
                <w:sz w:val="22"/>
                <w:szCs w:val="22"/>
                <w:lang w:eastAsia="fr-FR"/>
              </w:rPr>
              <w:t>3,94</w:t>
            </w:r>
          </w:p>
        </w:tc>
      </w:tr>
      <w:tr w:rsidR="00047313" w:rsidRPr="00E11659" w:rsidTr="00C31716">
        <w:trPr>
          <w:trHeight w:val="315"/>
        </w:trPr>
        <w:tc>
          <w:tcPr>
            <w:tcW w:w="3675" w:type="pct"/>
            <w:shd w:val="clear" w:color="auto" w:fill="auto"/>
            <w:noWrap/>
            <w:vAlign w:val="center"/>
          </w:tcPr>
          <w:p w:rsidR="00047313" w:rsidRPr="00E11659" w:rsidRDefault="00047313" w:rsidP="00047313">
            <w:pPr>
              <w:autoSpaceDE/>
              <w:autoSpaceDN/>
              <w:adjustRightInd/>
              <w:spacing w:after="0" w:line="240" w:lineRule="auto"/>
              <w:jc w:val="left"/>
              <w:rPr>
                <w:rFonts w:eastAsia="Times New Roman"/>
                <w:lang w:eastAsia="fr-FR"/>
              </w:rPr>
            </w:pPr>
            <w:r w:rsidRPr="00E11659">
              <w:rPr>
                <w:rFonts w:eastAsia="Times New Roman"/>
                <w:sz w:val="22"/>
                <w:szCs w:val="22"/>
                <w:lang w:eastAsia="fr-FR"/>
              </w:rPr>
              <w:t>Cotisations d'assurance sociale</w:t>
            </w:r>
          </w:p>
        </w:tc>
        <w:tc>
          <w:tcPr>
            <w:tcW w:w="891" w:type="pct"/>
            <w:shd w:val="clear" w:color="auto" w:fill="auto"/>
            <w:noWrap/>
            <w:vAlign w:val="center"/>
          </w:tcPr>
          <w:p w:rsidR="00047313" w:rsidRPr="00E11659" w:rsidRDefault="00047313" w:rsidP="00047313">
            <w:pPr>
              <w:autoSpaceDE/>
              <w:autoSpaceDN/>
              <w:adjustRightInd/>
              <w:spacing w:after="0" w:line="240" w:lineRule="auto"/>
              <w:jc w:val="center"/>
              <w:rPr>
                <w:rFonts w:eastAsia="Times New Roman"/>
                <w:lang w:eastAsia="fr-FR"/>
              </w:rPr>
            </w:pPr>
            <w:r w:rsidRPr="00E11659">
              <w:rPr>
                <w:rFonts w:eastAsia="Times New Roman"/>
                <w:sz w:val="22"/>
                <w:szCs w:val="22"/>
                <w:lang w:eastAsia="fr-FR"/>
              </w:rPr>
              <w:t>3 905,04</w:t>
            </w:r>
          </w:p>
        </w:tc>
        <w:tc>
          <w:tcPr>
            <w:tcW w:w="434" w:type="pct"/>
            <w:shd w:val="clear" w:color="auto" w:fill="auto"/>
            <w:noWrap/>
            <w:vAlign w:val="center"/>
          </w:tcPr>
          <w:p w:rsidR="00047313" w:rsidRPr="00E11659" w:rsidRDefault="00047313" w:rsidP="00047313">
            <w:pPr>
              <w:autoSpaceDE/>
              <w:autoSpaceDN/>
              <w:adjustRightInd/>
              <w:spacing w:after="0" w:line="240" w:lineRule="auto"/>
              <w:jc w:val="center"/>
              <w:rPr>
                <w:rFonts w:ascii="Calibri" w:eastAsia="Times New Roman" w:hAnsi="Calibri"/>
                <w:lang w:eastAsia="fr-FR"/>
              </w:rPr>
            </w:pPr>
            <w:r w:rsidRPr="00E11659">
              <w:rPr>
                <w:rFonts w:ascii="Calibri" w:eastAsia="Times New Roman" w:hAnsi="Calibri"/>
                <w:sz w:val="22"/>
                <w:szCs w:val="22"/>
                <w:lang w:eastAsia="fr-FR"/>
              </w:rPr>
              <w:t>3,22</w:t>
            </w:r>
          </w:p>
        </w:tc>
      </w:tr>
      <w:tr w:rsidR="00047313" w:rsidRPr="00E11659" w:rsidTr="00C31716">
        <w:trPr>
          <w:trHeight w:val="315"/>
        </w:trPr>
        <w:tc>
          <w:tcPr>
            <w:tcW w:w="3675" w:type="pct"/>
            <w:shd w:val="clear" w:color="auto" w:fill="auto"/>
            <w:noWrap/>
            <w:vAlign w:val="center"/>
          </w:tcPr>
          <w:p w:rsidR="00047313" w:rsidRPr="00E11659" w:rsidRDefault="00047313" w:rsidP="00047313">
            <w:pPr>
              <w:autoSpaceDE/>
              <w:autoSpaceDN/>
              <w:adjustRightInd/>
              <w:spacing w:after="0" w:line="240" w:lineRule="auto"/>
              <w:jc w:val="left"/>
              <w:rPr>
                <w:rFonts w:eastAsia="Times New Roman"/>
                <w:lang w:eastAsia="fr-FR"/>
              </w:rPr>
            </w:pPr>
            <w:r w:rsidRPr="00E11659">
              <w:rPr>
                <w:rFonts w:eastAsia="Times New Roman"/>
                <w:sz w:val="22"/>
                <w:szCs w:val="22"/>
                <w:lang w:eastAsia="fr-FR"/>
              </w:rPr>
              <w:t>Prépaiement obligatoire (autres que FS.3)</w:t>
            </w:r>
          </w:p>
        </w:tc>
        <w:tc>
          <w:tcPr>
            <w:tcW w:w="891" w:type="pct"/>
            <w:shd w:val="clear" w:color="auto" w:fill="auto"/>
            <w:noWrap/>
            <w:vAlign w:val="center"/>
          </w:tcPr>
          <w:p w:rsidR="00047313" w:rsidRPr="00E11659" w:rsidRDefault="00047313" w:rsidP="00047313">
            <w:pPr>
              <w:autoSpaceDE/>
              <w:autoSpaceDN/>
              <w:adjustRightInd/>
              <w:spacing w:after="0" w:line="240" w:lineRule="auto"/>
              <w:jc w:val="center"/>
              <w:rPr>
                <w:rFonts w:eastAsia="Times New Roman"/>
                <w:lang w:eastAsia="fr-FR"/>
              </w:rPr>
            </w:pPr>
            <w:r w:rsidRPr="00E11659">
              <w:rPr>
                <w:rFonts w:eastAsia="Times New Roman"/>
                <w:sz w:val="22"/>
                <w:szCs w:val="22"/>
                <w:lang w:eastAsia="fr-FR"/>
              </w:rPr>
              <w:t>3,21</w:t>
            </w:r>
          </w:p>
        </w:tc>
        <w:tc>
          <w:tcPr>
            <w:tcW w:w="434" w:type="pct"/>
            <w:shd w:val="clear" w:color="auto" w:fill="auto"/>
            <w:noWrap/>
            <w:vAlign w:val="center"/>
          </w:tcPr>
          <w:p w:rsidR="00047313" w:rsidRPr="00E11659" w:rsidRDefault="00047313" w:rsidP="00047313">
            <w:pPr>
              <w:autoSpaceDE/>
              <w:autoSpaceDN/>
              <w:adjustRightInd/>
              <w:spacing w:after="0" w:line="240" w:lineRule="auto"/>
              <w:jc w:val="center"/>
              <w:rPr>
                <w:rFonts w:ascii="Calibri" w:eastAsia="Times New Roman" w:hAnsi="Calibri"/>
                <w:lang w:eastAsia="fr-FR"/>
              </w:rPr>
            </w:pPr>
            <w:r w:rsidRPr="00E11659">
              <w:rPr>
                <w:rFonts w:ascii="Calibri" w:eastAsia="Times New Roman" w:hAnsi="Calibri"/>
                <w:sz w:val="22"/>
                <w:szCs w:val="22"/>
                <w:lang w:eastAsia="fr-FR"/>
              </w:rPr>
              <w:t>0,00</w:t>
            </w:r>
          </w:p>
        </w:tc>
      </w:tr>
      <w:tr w:rsidR="00047313" w:rsidRPr="00E11659" w:rsidTr="00C31716">
        <w:trPr>
          <w:trHeight w:val="315"/>
        </w:trPr>
        <w:tc>
          <w:tcPr>
            <w:tcW w:w="3675" w:type="pct"/>
            <w:shd w:val="clear" w:color="auto" w:fill="auto"/>
            <w:noWrap/>
            <w:vAlign w:val="center"/>
          </w:tcPr>
          <w:p w:rsidR="00047313" w:rsidRPr="00E11659" w:rsidRDefault="00047313" w:rsidP="00047313">
            <w:pPr>
              <w:autoSpaceDE/>
              <w:autoSpaceDN/>
              <w:adjustRightInd/>
              <w:spacing w:after="0" w:line="240" w:lineRule="auto"/>
              <w:jc w:val="left"/>
              <w:rPr>
                <w:rFonts w:eastAsia="Times New Roman"/>
                <w:lang w:eastAsia="fr-FR"/>
              </w:rPr>
            </w:pPr>
            <w:r w:rsidRPr="00E11659">
              <w:rPr>
                <w:rFonts w:eastAsia="Times New Roman"/>
                <w:sz w:val="22"/>
                <w:szCs w:val="22"/>
                <w:lang w:eastAsia="fr-FR"/>
              </w:rPr>
              <w:t>Prépaiement volontaire</w:t>
            </w:r>
          </w:p>
        </w:tc>
        <w:tc>
          <w:tcPr>
            <w:tcW w:w="891" w:type="pct"/>
            <w:shd w:val="clear" w:color="auto" w:fill="auto"/>
            <w:noWrap/>
            <w:vAlign w:val="center"/>
          </w:tcPr>
          <w:p w:rsidR="00047313" w:rsidRPr="00E11659" w:rsidRDefault="00047313" w:rsidP="00047313">
            <w:pPr>
              <w:autoSpaceDE/>
              <w:autoSpaceDN/>
              <w:adjustRightInd/>
              <w:spacing w:after="0" w:line="240" w:lineRule="auto"/>
              <w:jc w:val="center"/>
              <w:rPr>
                <w:rFonts w:eastAsia="Times New Roman"/>
                <w:lang w:eastAsia="fr-FR"/>
              </w:rPr>
            </w:pPr>
            <w:r w:rsidRPr="00E11659">
              <w:rPr>
                <w:rFonts w:eastAsia="Times New Roman"/>
                <w:sz w:val="22"/>
                <w:szCs w:val="22"/>
                <w:lang w:eastAsia="fr-FR"/>
              </w:rPr>
              <w:t>1 011,61</w:t>
            </w:r>
          </w:p>
        </w:tc>
        <w:tc>
          <w:tcPr>
            <w:tcW w:w="434" w:type="pct"/>
            <w:shd w:val="clear" w:color="auto" w:fill="auto"/>
            <w:noWrap/>
            <w:vAlign w:val="center"/>
          </w:tcPr>
          <w:p w:rsidR="00047313" w:rsidRPr="00E11659" w:rsidRDefault="00047313" w:rsidP="00047313">
            <w:pPr>
              <w:autoSpaceDE/>
              <w:autoSpaceDN/>
              <w:adjustRightInd/>
              <w:spacing w:after="0" w:line="240" w:lineRule="auto"/>
              <w:jc w:val="center"/>
              <w:rPr>
                <w:rFonts w:ascii="Calibri" w:eastAsia="Times New Roman" w:hAnsi="Calibri"/>
                <w:lang w:eastAsia="fr-FR"/>
              </w:rPr>
            </w:pPr>
            <w:r w:rsidRPr="00E11659">
              <w:rPr>
                <w:rFonts w:ascii="Calibri" w:eastAsia="Times New Roman" w:hAnsi="Calibri"/>
                <w:sz w:val="22"/>
                <w:szCs w:val="22"/>
                <w:lang w:eastAsia="fr-FR"/>
              </w:rPr>
              <w:t>0,83</w:t>
            </w:r>
          </w:p>
        </w:tc>
      </w:tr>
      <w:tr w:rsidR="00047313" w:rsidRPr="00E11659" w:rsidTr="00C31716">
        <w:trPr>
          <w:trHeight w:val="315"/>
        </w:trPr>
        <w:tc>
          <w:tcPr>
            <w:tcW w:w="3675" w:type="pct"/>
            <w:shd w:val="clear" w:color="auto" w:fill="auto"/>
            <w:noWrap/>
            <w:vAlign w:val="center"/>
          </w:tcPr>
          <w:p w:rsidR="00047313" w:rsidRPr="00E11659" w:rsidRDefault="00047313" w:rsidP="00047313">
            <w:pPr>
              <w:autoSpaceDE/>
              <w:autoSpaceDN/>
              <w:adjustRightInd/>
              <w:spacing w:after="0" w:line="240" w:lineRule="auto"/>
              <w:jc w:val="left"/>
              <w:rPr>
                <w:rFonts w:eastAsia="Times New Roman"/>
                <w:lang w:eastAsia="fr-FR"/>
              </w:rPr>
            </w:pPr>
            <w:r w:rsidRPr="00E11659">
              <w:rPr>
                <w:rFonts w:eastAsia="Times New Roman"/>
                <w:sz w:val="22"/>
                <w:szCs w:val="22"/>
                <w:lang w:eastAsia="fr-FR"/>
              </w:rPr>
              <w:t>Autres revenus nationaux n.c.a.</w:t>
            </w:r>
          </w:p>
        </w:tc>
        <w:tc>
          <w:tcPr>
            <w:tcW w:w="891" w:type="pct"/>
            <w:shd w:val="clear" w:color="auto" w:fill="auto"/>
            <w:noWrap/>
            <w:vAlign w:val="center"/>
          </w:tcPr>
          <w:p w:rsidR="00047313" w:rsidRPr="00E11659" w:rsidRDefault="00047313" w:rsidP="00047313">
            <w:pPr>
              <w:autoSpaceDE/>
              <w:autoSpaceDN/>
              <w:adjustRightInd/>
              <w:spacing w:after="0" w:line="240" w:lineRule="auto"/>
              <w:jc w:val="center"/>
              <w:rPr>
                <w:rFonts w:eastAsia="Times New Roman"/>
                <w:lang w:eastAsia="fr-FR"/>
              </w:rPr>
            </w:pPr>
            <w:r w:rsidRPr="00E11659">
              <w:rPr>
                <w:rFonts w:eastAsia="Times New Roman"/>
                <w:sz w:val="22"/>
                <w:szCs w:val="22"/>
                <w:lang w:eastAsia="fr-FR"/>
              </w:rPr>
              <w:t>72 693,56</w:t>
            </w:r>
          </w:p>
        </w:tc>
        <w:tc>
          <w:tcPr>
            <w:tcW w:w="434" w:type="pct"/>
            <w:shd w:val="clear" w:color="auto" w:fill="auto"/>
            <w:noWrap/>
            <w:vAlign w:val="center"/>
          </w:tcPr>
          <w:p w:rsidR="00047313" w:rsidRPr="00E11659" w:rsidRDefault="00047313" w:rsidP="00047313">
            <w:pPr>
              <w:autoSpaceDE/>
              <w:autoSpaceDN/>
              <w:adjustRightInd/>
              <w:spacing w:after="0" w:line="240" w:lineRule="auto"/>
              <w:jc w:val="center"/>
              <w:rPr>
                <w:rFonts w:ascii="Calibri" w:eastAsia="Times New Roman" w:hAnsi="Calibri"/>
                <w:lang w:eastAsia="fr-FR"/>
              </w:rPr>
            </w:pPr>
            <w:r w:rsidRPr="00E11659">
              <w:rPr>
                <w:rFonts w:ascii="Calibri" w:eastAsia="Times New Roman" w:hAnsi="Calibri"/>
                <w:sz w:val="22"/>
                <w:szCs w:val="22"/>
                <w:lang w:eastAsia="fr-FR"/>
              </w:rPr>
              <w:t>59,86</w:t>
            </w:r>
          </w:p>
        </w:tc>
      </w:tr>
      <w:tr w:rsidR="00047313" w:rsidRPr="00E11659" w:rsidTr="00C31716">
        <w:trPr>
          <w:trHeight w:val="315"/>
        </w:trPr>
        <w:tc>
          <w:tcPr>
            <w:tcW w:w="3675" w:type="pct"/>
            <w:shd w:val="clear" w:color="auto" w:fill="auto"/>
            <w:noWrap/>
            <w:vAlign w:val="center"/>
          </w:tcPr>
          <w:p w:rsidR="00047313" w:rsidRPr="00E11659" w:rsidRDefault="00047313" w:rsidP="00047313">
            <w:pPr>
              <w:autoSpaceDE/>
              <w:autoSpaceDN/>
              <w:adjustRightInd/>
              <w:spacing w:after="0" w:line="240" w:lineRule="auto"/>
              <w:jc w:val="left"/>
              <w:rPr>
                <w:rFonts w:eastAsia="Times New Roman"/>
                <w:lang w:eastAsia="fr-FR"/>
              </w:rPr>
            </w:pPr>
            <w:r w:rsidRPr="00E11659">
              <w:rPr>
                <w:rFonts w:eastAsia="Times New Roman"/>
                <w:sz w:val="22"/>
                <w:szCs w:val="22"/>
                <w:lang w:eastAsia="fr-FR"/>
              </w:rPr>
              <w:t>Transferts directs étrangers</w:t>
            </w:r>
          </w:p>
        </w:tc>
        <w:tc>
          <w:tcPr>
            <w:tcW w:w="891" w:type="pct"/>
            <w:shd w:val="clear" w:color="auto" w:fill="auto"/>
            <w:noWrap/>
            <w:vAlign w:val="center"/>
          </w:tcPr>
          <w:p w:rsidR="00047313" w:rsidRPr="00E11659" w:rsidRDefault="00047313" w:rsidP="00047313">
            <w:pPr>
              <w:autoSpaceDE/>
              <w:autoSpaceDN/>
              <w:adjustRightInd/>
              <w:spacing w:after="0" w:line="240" w:lineRule="auto"/>
              <w:jc w:val="center"/>
              <w:rPr>
                <w:rFonts w:eastAsia="Times New Roman"/>
                <w:lang w:eastAsia="fr-FR"/>
              </w:rPr>
            </w:pPr>
            <w:r w:rsidRPr="00E11659">
              <w:rPr>
                <w:rFonts w:eastAsia="Times New Roman"/>
                <w:sz w:val="22"/>
                <w:szCs w:val="22"/>
                <w:lang w:eastAsia="fr-FR"/>
              </w:rPr>
              <w:t>25 110,26</w:t>
            </w:r>
          </w:p>
        </w:tc>
        <w:tc>
          <w:tcPr>
            <w:tcW w:w="434" w:type="pct"/>
            <w:shd w:val="clear" w:color="auto" w:fill="auto"/>
            <w:noWrap/>
            <w:vAlign w:val="center"/>
          </w:tcPr>
          <w:p w:rsidR="00047313" w:rsidRPr="00E11659" w:rsidRDefault="00047313" w:rsidP="00047313">
            <w:pPr>
              <w:autoSpaceDE/>
              <w:autoSpaceDN/>
              <w:adjustRightInd/>
              <w:spacing w:after="0" w:line="240" w:lineRule="auto"/>
              <w:jc w:val="center"/>
              <w:rPr>
                <w:rFonts w:ascii="Calibri" w:eastAsia="Times New Roman" w:hAnsi="Calibri"/>
                <w:lang w:eastAsia="fr-FR"/>
              </w:rPr>
            </w:pPr>
            <w:r w:rsidRPr="00E11659">
              <w:rPr>
                <w:rFonts w:ascii="Calibri" w:eastAsia="Times New Roman" w:hAnsi="Calibri"/>
                <w:sz w:val="22"/>
                <w:szCs w:val="22"/>
                <w:lang w:eastAsia="fr-FR"/>
              </w:rPr>
              <w:t>20,68</w:t>
            </w:r>
          </w:p>
        </w:tc>
      </w:tr>
      <w:tr w:rsidR="00047313" w:rsidRPr="00E11659" w:rsidTr="00C31716">
        <w:trPr>
          <w:trHeight w:val="315"/>
        </w:trPr>
        <w:tc>
          <w:tcPr>
            <w:tcW w:w="3675" w:type="pct"/>
            <w:shd w:val="clear" w:color="auto" w:fill="auto"/>
            <w:noWrap/>
            <w:vAlign w:val="center"/>
          </w:tcPr>
          <w:p w:rsidR="00047313" w:rsidRPr="00E11659" w:rsidRDefault="00047313" w:rsidP="00047313">
            <w:pPr>
              <w:autoSpaceDE/>
              <w:autoSpaceDN/>
              <w:adjustRightInd/>
              <w:spacing w:after="0" w:line="240" w:lineRule="auto"/>
              <w:jc w:val="left"/>
              <w:rPr>
                <w:rFonts w:eastAsia="Times New Roman"/>
                <w:lang w:eastAsia="fr-FR"/>
              </w:rPr>
            </w:pPr>
            <w:r w:rsidRPr="00E11659">
              <w:rPr>
                <w:rFonts w:eastAsia="Times New Roman"/>
                <w:sz w:val="22"/>
                <w:szCs w:val="22"/>
                <w:lang w:eastAsia="fr-FR"/>
              </w:rPr>
              <w:t>Total</w:t>
            </w:r>
          </w:p>
        </w:tc>
        <w:tc>
          <w:tcPr>
            <w:tcW w:w="891" w:type="pct"/>
            <w:shd w:val="clear" w:color="auto" w:fill="auto"/>
            <w:noWrap/>
            <w:vAlign w:val="center"/>
          </w:tcPr>
          <w:p w:rsidR="00047313" w:rsidRPr="00E11659" w:rsidRDefault="00047313" w:rsidP="00047313">
            <w:pPr>
              <w:autoSpaceDE/>
              <w:autoSpaceDN/>
              <w:adjustRightInd/>
              <w:spacing w:after="0" w:line="240" w:lineRule="auto"/>
              <w:jc w:val="center"/>
              <w:rPr>
                <w:rFonts w:eastAsia="Times New Roman"/>
                <w:lang w:eastAsia="fr-FR"/>
              </w:rPr>
            </w:pPr>
            <w:r w:rsidRPr="00E11659">
              <w:rPr>
                <w:rFonts w:eastAsia="Times New Roman"/>
                <w:sz w:val="22"/>
                <w:szCs w:val="22"/>
                <w:lang w:eastAsia="fr-FR"/>
              </w:rPr>
              <w:t>121 443,17</w:t>
            </w:r>
          </w:p>
        </w:tc>
        <w:tc>
          <w:tcPr>
            <w:tcW w:w="434" w:type="pct"/>
            <w:shd w:val="clear" w:color="auto" w:fill="auto"/>
            <w:noWrap/>
            <w:vAlign w:val="center"/>
          </w:tcPr>
          <w:p w:rsidR="00047313" w:rsidRPr="00E11659" w:rsidRDefault="00047313" w:rsidP="00047313">
            <w:pPr>
              <w:autoSpaceDE/>
              <w:autoSpaceDN/>
              <w:adjustRightInd/>
              <w:spacing w:after="0" w:line="240" w:lineRule="auto"/>
              <w:jc w:val="center"/>
              <w:rPr>
                <w:rFonts w:ascii="Calibri" w:eastAsia="Times New Roman" w:hAnsi="Calibri"/>
                <w:lang w:eastAsia="fr-FR"/>
              </w:rPr>
            </w:pPr>
            <w:r w:rsidRPr="00E11659">
              <w:rPr>
                <w:rFonts w:ascii="Calibri" w:eastAsia="Times New Roman" w:hAnsi="Calibri"/>
                <w:sz w:val="22"/>
                <w:szCs w:val="22"/>
                <w:lang w:eastAsia="fr-FR"/>
              </w:rPr>
              <w:t>100</w:t>
            </w:r>
          </w:p>
        </w:tc>
      </w:tr>
    </w:tbl>
    <w:p w:rsidR="00DB39DD" w:rsidRPr="00533D86" w:rsidRDefault="00DB39DD" w:rsidP="00EE0DE8">
      <w:pPr>
        <w:spacing w:before="240" w:line="312" w:lineRule="auto"/>
        <w:rPr>
          <w:lang w:eastAsia="fr-FR"/>
        </w:rPr>
      </w:pPr>
      <w:r w:rsidRPr="00533D86">
        <w:rPr>
          <w:lang w:eastAsia="fr-FR"/>
        </w:rPr>
        <w:t xml:space="preserve">Le poste autres </w:t>
      </w:r>
      <w:r w:rsidR="00EE0DE8">
        <w:rPr>
          <w:lang w:eastAsia="fr-FR"/>
        </w:rPr>
        <w:t>« </w:t>
      </w:r>
      <w:r w:rsidRPr="00533D86">
        <w:rPr>
          <w:lang w:eastAsia="fr-FR"/>
        </w:rPr>
        <w:t>revenus nationaux n.c.a.</w:t>
      </w:r>
      <w:r w:rsidR="00EE0DE8">
        <w:rPr>
          <w:lang w:eastAsia="fr-FR"/>
        </w:rPr>
        <w:t> »</w:t>
      </w:r>
      <w:r w:rsidRPr="00533D86">
        <w:rPr>
          <w:lang w:eastAsia="fr-FR"/>
        </w:rPr>
        <w:t xml:space="preserve"> est constitué par les recettes provenant des ménages, des ONG et des entreprises. Il représente près de </w:t>
      </w:r>
      <w:r w:rsidR="00BA6E37">
        <w:rPr>
          <w:lang w:eastAsia="fr-FR"/>
        </w:rPr>
        <w:t>59,86</w:t>
      </w:r>
      <w:r w:rsidRPr="00533D86">
        <w:rPr>
          <w:lang w:eastAsia="fr-FR"/>
        </w:rPr>
        <w:t xml:space="preserve">% des recettes des régimes de financement pour le traitement du paludisme. La part des ménages est la plus importante. Elle s’élève à </w:t>
      </w:r>
      <w:r w:rsidR="00BA6E37" w:rsidRPr="00533D86">
        <w:rPr>
          <w:lang w:eastAsia="fr-FR"/>
        </w:rPr>
        <w:t>7</w:t>
      </w:r>
      <w:r w:rsidR="00BA6E37">
        <w:rPr>
          <w:lang w:eastAsia="fr-FR"/>
        </w:rPr>
        <w:t>2</w:t>
      </w:r>
      <w:r w:rsidRPr="00533D86">
        <w:rPr>
          <w:lang w:eastAsia="fr-FR"/>
        </w:rPr>
        <w:t>, </w:t>
      </w:r>
      <w:r w:rsidR="00BA6E37">
        <w:rPr>
          <w:lang w:eastAsia="fr-FR"/>
        </w:rPr>
        <w:t>21</w:t>
      </w:r>
      <w:r w:rsidR="00BA6E37" w:rsidRPr="00533D86">
        <w:rPr>
          <w:lang w:eastAsia="fr-FR"/>
        </w:rPr>
        <w:t>1 </w:t>
      </w:r>
      <w:r w:rsidRPr="00533D86">
        <w:rPr>
          <w:lang w:eastAsia="fr-FR"/>
        </w:rPr>
        <w:t xml:space="preserve">milliards de F CFA  soit </w:t>
      </w:r>
      <w:r w:rsidR="00BA6E37">
        <w:rPr>
          <w:lang w:eastAsia="fr-FR"/>
        </w:rPr>
        <w:t>59</w:t>
      </w:r>
      <w:r w:rsidRPr="00533D86">
        <w:rPr>
          <w:lang w:eastAsia="fr-FR"/>
        </w:rPr>
        <w:t>,</w:t>
      </w:r>
      <w:r w:rsidR="00BA6E37">
        <w:rPr>
          <w:lang w:eastAsia="fr-FR"/>
        </w:rPr>
        <w:t>46</w:t>
      </w:r>
      <w:r w:rsidRPr="00533D86">
        <w:rPr>
          <w:lang w:eastAsia="fr-FR"/>
        </w:rPr>
        <w:t xml:space="preserve">% du total. Les entreprises quant à elles ont contribué pour </w:t>
      </w:r>
      <w:r w:rsidR="00EC3DB0">
        <w:rPr>
          <w:lang w:eastAsia="fr-FR"/>
        </w:rPr>
        <w:t> 447,54</w:t>
      </w:r>
      <w:r w:rsidRPr="00533D86">
        <w:rPr>
          <w:lang w:eastAsia="fr-FR"/>
        </w:rPr>
        <w:t xml:space="preserve">millions alors que la part des ONG s’élève à </w:t>
      </w:r>
      <w:r w:rsidR="00EC3DB0">
        <w:rPr>
          <w:lang w:eastAsia="fr-FR"/>
        </w:rPr>
        <w:t>25014,74</w:t>
      </w:r>
      <w:r w:rsidRPr="00533D86">
        <w:rPr>
          <w:lang w:eastAsia="fr-FR"/>
        </w:rPr>
        <w:t xml:space="preserve">millions de Francs CFA. Les transferts directs étrangers viennent en seconde position avec un montant de </w:t>
      </w:r>
      <w:r w:rsidR="00406C76">
        <w:rPr>
          <w:lang w:eastAsia="fr-FR"/>
        </w:rPr>
        <w:t>25,110</w:t>
      </w:r>
      <w:r w:rsidRPr="00533D86">
        <w:rPr>
          <w:lang w:eastAsia="fr-FR"/>
        </w:rPr>
        <w:t xml:space="preserve">milliards de francs CFA représentant </w:t>
      </w:r>
      <w:r w:rsidR="00406C76">
        <w:rPr>
          <w:lang w:eastAsia="fr-FR"/>
        </w:rPr>
        <w:t>20</w:t>
      </w:r>
      <w:r w:rsidRPr="00533D86">
        <w:rPr>
          <w:lang w:eastAsia="fr-FR"/>
        </w:rPr>
        <w:t>,</w:t>
      </w:r>
      <w:r w:rsidR="00406C76">
        <w:rPr>
          <w:lang w:eastAsia="fr-FR"/>
        </w:rPr>
        <w:t>68</w:t>
      </w:r>
      <w:r w:rsidRPr="00533D86">
        <w:rPr>
          <w:lang w:eastAsia="fr-FR"/>
        </w:rPr>
        <w:t>% du total des recettes des régimes de financement.</w:t>
      </w:r>
    </w:p>
    <w:p w:rsidR="006C002B" w:rsidRPr="00533D86" w:rsidRDefault="00567891" w:rsidP="00947090">
      <w:pPr>
        <w:pStyle w:val="Titre3"/>
        <w:ind w:left="1004" w:hanging="720"/>
        <w:rPr>
          <w:noProof/>
          <w:lang w:eastAsia="fr-FR"/>
        </w:rPr>
      </w:pPr>
      <w:r>
        <w:rPr>
          <w:noProof/>
          <w:lang w:eastAsia="fr-FR"/>
        </w:rPr>
        <w:t xml:space="preserve">4.2.1.  </w:t>
      </w:r>
      <w:r w:rsidR="006C002B" w:rsidRPr="00533D86">
        <w:rPr>
          <w:noProof/>
          <w:lang w:eastAsia="fr-FR"/>
        </w:rPr>
        <w:t>Regime de financement des dépenses du paludisme</w:t>
      </w:r>
    </w:p>
    <w:p w:rsidR="00CC7C3B" w:rsidRPr="00533D86" w:rsidRDefault="006C002B" w:rsidP="00587784">
      <w:pPr>
        <w:spacing w:line="312" w:lineRule="auto"/>
        <w:rPr>
          <w:lang w:eastAsia="fr-FR"/>
        </w:rPr>
      </w:pPr>
      <w:r w:rsidRPr="00533D86">
        <w:rPr>
          <w:lang w:eastAsia="fr-FR"/>
        </w:rPr>
        <w:t>Pour le</w:t>
      </w:r>
      <w:r w:rsidR="00CC7C3B" w:rsidRPr="00533D86">
        <w:rPr>
          <w:lang w:eastAsia="fr-FR"/>
        </w:rPr>
        <w:t>s</w:t>
      </w:r>
      <w:r w:rsidRPr="00533D86">
        <w:rPr>
          <w:lang w:eastAsia="fr-FR"/>
        </w:rPr>
        <w:t xml:space="preserve"> régime</w:t>
      </w:r>
      <w:r w:rsidR="00CC7C3B" w:rsidRPr="00533D86">
        <w:rPr>
          <w:lang w:eastAsia="fr-FR"/>
        </w:rPr>
        <w:t>s</w:t>
      </w:r>
      <w:r w:rsidR="00B32172">
        <w:rPr>
          <w:lang w:eastAsia="fr-FR"/>
        </w:rPr>
        <w:t xml:space="preserve"> </w:t>
      </w:r>
      <w:r w:rsidR="00CC7C3B" w:rsidRPr="00533D86">
        <w:rPr>
          <w:lang w:eastAsia="fr-FR"/>
        </w:rPr>
        <w:t xml:space="preserve">de </w:t>
      </w:r>
      <w:r w:rsidRPr="00533D86">
        <w:rPr>
          <w:lang w:eastAsia="fr-FR"/>
        </w:rPr>
        <w:t xml:space="preserve">financement des dépenses </w:t>
      </w:r>
      <w:r w:rsidR="00CC7C3B" w:rsidRPr="00533D86">
        <w:rPr>
          <w:lang w:eastAsia="fr-FR"/>
        </w:rPr>
        <w:t>liées a</w:t>
      </w:r>
      <w:r w:rsidRPr="00533D86">
        <w:rPr>
          <w:lang w:eastAsia="fr-FR"/>
        </w:rPr>
        <w:t>u paludisme</w:t>
      </w:r>
      <w:r w:rsidR="00CC7C3B" w:rsidRPr="00533D86">
        <w:rPr>
          <w:lang w:eastAsia="fr-FR"/>
        </w:rPr>
        <w:t xml:space="preserve"> en </w:t>
      </w:r>
      <w:r w:rsidR="00E42063" w:rsidRPr="00533D86">
        <w:rPr>
          <w:lang w:eastAsia="fr-FR"/>
        </w:rPr>
        <w:t>201</w:t>
      </w:r>
      <w:r w:rsidR="00E42063">
        <w:rPr>
          <w:lang w:eastAsia="fr-FR"/>
        </w:rPr>
        <w:t>4</w:t>
      </w:r>
      <w:r w:rsidRPr="00533D86">
        <w:rPr>
          <w:lang w:eastAsia="fr-FR"/>
        </w:rPr>
        <w:t xml:space="preserve">, la grosse part revient aux ménages avec </w:t>
      </w:r>
      <w:r w:rsidR="00DE451A">
        <w:rPr>
          <w:lang w:eastAsia="fr-FR"/>
        </w:rPr>
        <w:t>59,46</w:t>
      </w:r>
      <w:r w:rsidRPr="00533D86">
        <w:rPr>
          <w:lang w:eastAsia="fr-FR"/>
        </w:rPr>
        <w:t xml:space="preserve">%. L’Etat n’intervient que pour </w:t>
      </w:r>
      <w:r w:rsidR="005C1E0C">
        <w:rPr>
          <w:lang w:eastAsia="fr-FR"/>
        </w:rPr>
        <w:t>11,47</w:t>
      </w:r>
      <w:r w:rsidRPr="00533D86">
        <w:rPr>
          <w:lang w:eastAsia="fr-FR"/>
        </w:rPr>
        <w:t xml:space="preserve">%.  Le graphique </w:t>
      </w:r>
      <w:r w:rsidR="006D2B64">
        <w:rPr>
          <w:lang w:eastAsia="fr-FR"/>
        </w:rPr>
        <w:t xml:space="preserve">4.2.1 </w:t>
      </w:r>
      <w:r w:rsidRPr="00533D86">
        <w:rPr>
          <w:lang w:eastAsia="fr-FR"/>
        </w:rPr>
        <w:t>ci-dessous donne le détail de la répartition des dépenses par régime de financement.</w:t>
      </w:r>
    </w:p>
    <w:p w:rsidR="006D2B64" w:rsidRDefault="006D2B64" w:rsidP="006D2B64">
      <w:pPr>
        <w:pStyle w:val="Lgende"/>
        <w:rPr>
          <w:color w:val="000000" w:themeColor="text1"/>
          <w:sz w:val="22"/>
          <w:szCs w:val="22"/>
        </w:rPr>
      </w:pPr>
    </w:p>
    <w:p w:rsidR="006C002B" w:rsidRPr="006D2B64" w:rsidRDefault="006D2B64" w:rsidP="006D2B64">
      <w:pPr>
        <w:pStyle w:val="Lgende"/>
        <w:rPr>
          <w:color w:val="000000" w:themeColor="text1"/>
          <w:sz w:val="22"/>
          <w:szCs w:val="22"/>
          <w:lang w:eastAsia="fr-FR"/>
        </w:rPr>
      </w:pPr>
      <w:bookmarkStart w:id="61" w:name="_Toc413942143"/>
      <w:r w:rsidRPr="006D2B64">
        <w:rPr>
          <w:color w:val="000000" w:themeColor="text1"/>
          <w:sz w:val="22"/>
          <w:szCs w:val="22"/>
        </w:rPr>
        <w:t xml:space="preserve">Graphique </w:t>
      </w:r>
      <w:r w:rsidR="00E72F8E">
        <w:rPr>
          <w:color w:val="000000" w:themeColor="text1"/>
          <w:sz w:val="22"/>
          <w:szCs w:val="22"/>
        </w:rPr>
        <w:fldChar w:fldCharType="begin"/>
      </w:r>
      <w:r>
        <w:rPr>
          <w:color w:val="000000" w:themeColor="text1"/>
          <w:sz w:val="22"/>
          <w:szCs w:val="22"/>
        </w:rPr>
        <w:instrText xml:space="preserve"> STYLEREF 2 \s </w:instrText>
      </w:r>
      <w:r w:rsidR="00E72F8E">
        <w:rPr>
          <w:color w:val="000000" w:themeColor="text1"/>
          <w:sz w:val="22"/>
          <w:szCs w:val="22"/>
        </w:rPr>
        <w:fldChar w:fldCharType="separate"/>
      </w:r>
      <w:r>
        <w:rPr>
          <w:noProof/>
          <w:color w:val="000000" w:themeColor="text1"/>
          <w:sz w:val="22"/>
          <w:szCs w:val="22"/>
        </w:rPr>
        <w:t>4.2</w:t>
      </w:r>
      <w:r w:rsidR="00E72F8E">
        <w:rPr>
          <w:color w:val="000000" w:themeColor="text1"/>
          <w:sz w:val="22"/>
          <w:szCs w:val="22"/>
        </w:rPr>
        <w:fldChar w:fldCharType="end"/>
      </w:r>
      <w:r>
        <w:rPr>
          <w:color w:val="000000" w:themeColor="text1"/>
          <w:sz w:val="22"/>
          <w:szCs w:val="22"/>
        </w:rPr>
        <w:t>.</w:t>
      </w:r>
      <w:r w:rsidR="00E72F8E">
        <w:rPr>
          <w:color w:val="000000" w:themeColor="text1"/>
          <w:sz w:val="22"/>
          <w:szCs w:val="22"/>
        </w:rPr>
        <w:fldChar w:fldCharType="begin"/>
      </w:r>
      <w:r>
        <w:rPr>
          <w:color w:val="000000" w:themeColor="text1"/>
          <w:sz w:val="22"/>
          <w:szCs w:val="22"/>
        </w:rPr>
        <w:instrText xml:space="preserve"> SEQ Graphique \* ARABIC \s 2 </w:instrText>
      </w:r>
      <w:r w:rsidR="00E72F8E">
        <w:rPr>
          <w:color w:val="000000" w:themeColor="text1"/>
          <w:sz w:val="22"/>
          <w:szCs w:val="22"/>
        </w:rPr>
        <w:fldChar w:fldCharType="separate"/>
      </w:r>
      <w:r>
        <w:rPr>
          <w:noProof/>
          <w:color w:val="000000" w:themeColor="text1"/>
          <w:sz w:val="22"/>
          <w:szCs w:val="22"/>
        </w:rPr>
        <w:t>1</w:t>
      </w:r>
      <w:r w:rsidR="00E72F8E">
        <w:rPr>
          <w:color w:val="000000" w:themeColor="text1"/>
          <w:sz w:val="22"/>
          <w:szCs w:val="22"/>
        </w:rPr>
        <w:fldChar w:fldCharType="end"/>
      </w:r>
      <w:r w:rsidR="006C002B" w:rsidRPr="006D2B64">
        <w:rPr>
          <w:b/>
          <w:color w:val="000000" w:themeColor="text1"/>
          <w:sz w:val="22"/>
          <w:szCs w:val="22"/>
          <w:lang w:eastAsia="fr-FR"/>
        </w:rPr>
        <w:t> :</w:t>
      </w:r>
      <w:r w:rsidR="006C002B" w:rsidRPr="006D2B64">
        <w:rPr>
          <w:color w:val="000000" w:themeColor="text1"/>
          <w:sz w:val="22"/>
          <w:szCs w:val="22"/>
          <w:lang w:eastAsia="fr-FR"/>
        </w:rPr>
        <w:t xml:space="preserve"> Répartition des dépenses par régime de financement</w:t>
      </w:r>
      <w:bookmarkEnd w:id="61"/>
    </w:p>
    <w:p w:rsidR="006C002B" w:rsidRDefault="00A14B50" w:rsidP="00587784">
      <w:pPr>
        <w:spacing w:line="312" w:lineRule="auto"/>
        <w:rPr>
          <w:lang w:eastAsia="fr-FR"/>
        </w:rPr>
      </w:pPr>
      <w:r w:rsidRPr="00A14B50">
        <w:rPr>
          <w:noProof/>
          <w:lang w:eastAsia="fr-FR"/>
        </w:rPr>
        <w:drawing>
          <wp:inline distT="0" distB="0" distL="0" distR="0">
            <wp:extent cx="4572000" cy="2724150"/>
            <wp:effectExtent l="19050" t="0" r="19050" b="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002B" w:rsidRPr="00015946" w:rsidRDefault="00567891" w:rsidP="00947090">
      <w:pPr>
        <w:pStyle w:val="Titre2"/>
        <w:ind w:left="1080" w:hanging="720"/>
        <w:rPr>
          <w:noProof/>
        </w:rPr>
      </w:pPr>
      <w:bookmarkStart w:id="62" w:name="_Toc413941249"/>
      <w:r>
        <w:rPr>
          <w:noProof/>
        </w:rPr>
        <w:t xml:space="preserve">4.3. </w:t>
      </w:r>
      <w:r w:rsidR="006C002B" w:rsidRPr="00015946">
        <w:rPr>
          <w:noProof/>
        </w:rPr>
        <w:t>Répartition des dépenses du paludisme par unité institutionnelle</w:t>
      </w:r>
      <w:bookmarkEnd w:id="62"/>
    </w:p>
    <w:p w:rsidR="00956234" w:rsidRDefault="005351B9" w:rsidP="00587784">
      <w:pPr>
        <w:spacing w:line="312" w:lineRule="auto"/>
        <w:rPr>
          <w:lang w:eastAsia="fr-FR"/>
        </w:rPr>
      </w:pPr>
      <w:r w:rsidRPr="002615D4">
        <w:rPr>
          <w:lang w:eastAsia="fr-FR"/>
        </w:rPr>
        <w:t>Le Tablea</w:t>
      </w:r>
      <w:r w:rsidR="006D2B64">
        <w:rPr>
          <w:lang w:eastAsia="fr-FR"/>
        </w:rPr>
        <w:t>u 4.2.1</w:t>
      </w:r>
      <w:r w:rsidRPr="002615D4">
        <w:rPr>
          <w:lang w:eastAsia="fr-FR"/>
        </w:rPr>
        <w:t xml:space="preserve"> récapitule l</w:t>
      </w:r>
      <w:r w:rsidR="006C002B" w:rsidRPr="002615D4">
        <w:rPr>
          <w:lang w:eastAsia="fr-FR"/>
        </w:rPr>
        <w:t>a répartition des dépenses du paludisme par unités institutionnelles</w:t>
      </w:r>
      <w:r w:rsidRPr="002615D4">
        <w:rPr>
          <w:lang w:eastAsia="fr-FR"/>
        </w:rPr>
        <w:t xml:space="preserve"> en </w:t>
      </w:r>
      <w:r w:rsidR="001637FA" w:rsidRPr="002615D4">
        <w:rPr>
          <w:lang w:eastAsia="fr-FR"/>
        </w:rPr>
        <w:t>201</w:t>
      </w:r>
      <w:r w:rsidR="001637FA">
        <w:rPr>
          <w:lang w:eastAsia="fr-FR"/>
        </w:rPr>
        <w:t>4</w:t>
      </w:r>
      <w:r w:rsidRPr="002615D4">
        <w:rPr>
          <w:lang w:eastAsia="fr-FR"/>
        </w:rPr>
        <w:t>.</w:t>
      </w:r>
    </w:p>
    <w:p w:rsidR="00383257" w:rsidRPr="008817FA" w:rsidRDefault="006D2B64" w:rsidP="008817FA">
      <w:pPr>
        <w:pStyle w:val="Lgende"/>
        <w:rPr>
          <w:color w:val="000000" w:themeColor="text1"/>
          <w:sz w:val="22"/>
          <w:szCs w:val="22"/>
          <w:lang w:eastAsia="fr-FR"/>
        </w:rPr>
      </w:pPr>
      <w:bookmarkStart w:id="63" w:name="_Toc483991274"/>
      <w:r w:rsidRPr="006D2B64">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4.3</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1</w:t>
      </w:r>
      <w:r w:rsidR="00E72F8E">
        <w:rPr>
          <w:color w:val="000000" w:themeColor="text1"/>
          <w:sz w:val="22"/>
          <w:szCs w:val="22"/>
        </w:rPr>
        <w:fldChar w:fldCharType="end"/>
      </w:r>
      <w:r w:rsidR="006C002B" w:rsidRPr="006D2B64">
        <w:rPr>
          <w:b/>
          <w:color w:val="000000" w:themeColor="text1"/>
          <w:sz w:val="22"/>
          <w:szCs w:val="22"/>
          <w:lang w:eastAsia="fr-FR"/>
        </w:rPr>
        <w:t> :</w:t>
      </w:r>
      <w:r w:rsidR="006C002B" w:rsidRPr="006D2B64">
        <w:rPr>
          <w:color w:val="000000" w:themeColor="text1"/>
          <w:sz w:val="22"/>
          <w:szCs w:val="22"/>
          <w:lang w:eastAsia="fr-FR"/>
        </w:rPr>
        <w:t xml:space="preserve"> Répartition des dépenses de paludisme par unité institutionnelle fournissant les fonds</w:t>
      </w:r>
      <w:r w:rsidR="0036169A" w:rsidRPr="006D2B64">
        <w:rPr>
          <w:color w:val="000000" w:themeColor="text1"/>
          <w:sz w:val="22"/>
          <w:szCs w:val="22"/>
          <w:lang w:eastAsia="fr-FR"/>
        </w:rPr>
        <w:t>.</w:t>
      </w:r>
      <w:bookmarkEnd w:id="63"/>
    </w:p>
    <w:tbl>
      <w:tblPr>
        <w:tblW w:w="8662" w:type="dxa"/>
        <w:tblInd w:w="55" w:type="dxa"/>
        <w:tblCellMar>
          <w:left w:w="70" w:type="dxa"/>
          <w:right w:w="70" w:type="dxa"/>
        </w:tblCellMar>
        <w:tblLook w:val="04A0"/>
      </w:tblPr>
      <w:tblGrid>
        <w:gridCol w:w="5402"/>
        <w:gridCol w:w="2268"/>
        <w:gridCol w:w="992"/>
      </w:tblGrid>
      <w:tr w:rsidR="00383257" w:rsidRPr="00383257" w:rsidTr="00750033">
        <w:trPr>
          <w:trHeight w:val="567"/>
        </w:trPr>
        <w:tc>
          <w:tcPr>
            <w:tcW w:w="54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83257" w:rsidRPr="00383257" w:rsidRDefault="008817FA" w:rsidP="00383257">
            <w:pPr>
              <w:autoSpaceDE/>
              <w:autoSpaceDN/>
              <w:adjustRightInd/>
              <w:spacing w:after="0" w:line="240" w:lineRule="auto"/>
              <w:jc w:val="center"/>
              <w:rPr>
                <w:rFonts w:eastAsia="Times New Roman"/>
                <w:b/>
                <w:lang w:eastAsia="fr-FR"/>
              </w:rPr>
            </w:pPr>
            <w:r>
              <w:rPr>
                <w:rFonts w:eastAsia="Times New Roman"/>
                <w:b/>
                <w:sz w:val="22"/>
                <w:szCs w:val="22"/>
                <w:lang w:eastAsia="fr-FR"/>
              </w:rPr>
              <w:t xml:space="preserve">Unités Institutionnelles </w:t>
            </w:r>
            <w:r w:rsidR="00383257" w:rsidRPr="00383257">
              <w:rPr>
                <w:rFonts w:eastAsia="Times New Roman"/>
                <w:b/>
                <w:sz w:val="22"/>
                <w:szCs w:val="22"/>
                <w:lang w:eastAsia="fr-FR"/>
              </w:rPr>
              <w:t>fournissant des fonds</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rsidR="00383257" w:rsidRPr="00383257" w:rsidRDefault="00383257" w:rsidP="00C63457">
            <w:pPr>
              <w:autoSpaceDE/>
              <w:autoSpaceDN/>
              <w:adjustRightInd/>
              <w:spacing w:after="0" w:line="240" w:lineRule="auto"/>
              <w:jc w:val="center"/>
              <w:rPr>
                <w:rFonts w:eastAsia="Times New Roman"/>
                <w:b/>
                <w:lang w:eastAsia="fr-FR"/>
              </w:rPr>
            </w:pPr>
            <w:r w:rsidRPr="00383257">
              <w:rPr>
                <w:rFonts w:eastAsia="Times New Roman"/>
                <w:b/>
                <w:sz w:val="22"/>
                <w:szCs w:val="22"/>
                <w:lang w:eastAsia="fr-FR"/>
              </w:rPr>
              <w:t>Dépenses</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383257" w:rsidRPr="00383257" w:rsidRDefault="00383257" w:rsidP="008C7477">
            <w:pPr>
              <w:autoSpaceDE/>
              <w:autoSpaceDN/>
              <w:adjustRightInd/>
              <w:spacing w:after="0" w:line="240" w:lineRule="auto"/>
              <w:jc w:val="center"/>
              <w:rPr>
                <w:rFonts w:eastAsia="Times New Roman"/>
                <w:b/>
                <w:lang w:eastAsia="fr-FR"/>
              </w:rPr>
            </w:pPr>
            <w:r w:rsidRPr="00383257">
              <w:rPr>
                <w:rFonts w:eastAsia="Times New Roman"/>
                <w:b/>
                <w:sz w:val="22"/>
                <w:szCs w:val="22"/>
                <w:lang w:eastAsia="fr-FR"/>
              </w:rPr>
              <w:t>%</w:t>
            </w:r>
          </w:p>
        </w:tc>
      </w:tr>
      <w:tr w:rsidR="00383257" w:rsidRPr="00383257" w:rsidTr="00750033">
        <w:trPr>
          <w:trHeight w:val="539"/>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383257" w:rsidRPr="00383257" w:rsidRDefault="00383257" w:rsidP="00383257">
            <w:pPr>
              <w:autoSpaceDE/>
              <w:autoSpaceDN/>
              <w:adjustRightInd/>
              <w:spacing w:after="0" w:line="240" w:lineRule="auto"/>
              <w:jc w:val="left"/>
              <w:rPr>
                <w:rFonts w:eastAsia="Times New Roman"/>
                <w:b/>
                <w:lang w:eastAsia="fr-FR"/>
              </w:rPr>
            </w:pPr>
            <w:r w:rsidRPr="00383257">
              <w:rPr>
                <w:rFonts w:eastAsia="Times New Roman"/>
                <w:b/>
                <w:sz w:val="22"/>
                <w:szCs w:val="22"/>
                <w:lang w:eastAsia="fr-FR"/>
              </w:rPr>
              <w:t>Administration publique</w:t>
            </w:r>
          </w:p>
        </w:tc>
        <w:tc>
          <w:tcPr>
            <w:tcW w:w="2268" w:type="dxa"/>
            <w:tcBorders>
              <w:top w:val="nil"/>
              <w:left w:val="nil"/>
              <w:bottom w:val="single" w:sz="8" w:space="0" w:color="auto"/>
              <w:right w:val="single" w:sz="8" w:space="0" w:color="auto"/>
            </w:tcBorders>
            <w:shd w:val="clear" w:color="auto" w:fill="auto"/>
            <w:noWrap/>
            <w:vAlign w:val="center"/>
            <w:hideMark/>
          </w:tcPr>
          <w:p w:rsidR="00383257" w:rsidRPr="00383257" w:rsidRDefault="00383257" w:rsidP="00750033">
            <w:pPr>
              <w:autoSpaceDE/>
              <w:autoSpaceDN/>
              <w:adjustRightInd/>
              <w:spacing w:after="0" w:line="240" w:lineRule="auto"/>
              <w:jc w:val="center"/>
              <w:rPr>
                <w:rFonts w:eastAsia="Times New Roman"/>
                <w:bCs w:val="0"/>
                <w:lang w:eastAsia="fr-FR"/>
              </w:rPr>
            </w:pPr>
            <w:r w:rsidRPr="00383257">
              <w:rPr>
                <w:rFonts w:eastAsia="Times New Roman"/>
                <w:bCs w:val="0"/>
                <w:sz w:val="22"/>
                <w:szCs w:val="22"/>
                <w:lang w:eastAsia="fr-FR"/>
              </w:rPr>
              <w:t>16 414,35</w:t>
            </w:r>
          </w:p>
        </w:tc>
        <w:tc>
          <w:tcPr>
            <w:tcW w:w="992" w:type="dxa"/>
            <w:tcBorders>
              <w:top w:val="nil"/>
              <w:left w:val="nil"/>
              <w:bottom w:val="single" w:sz="8" w:space="0" w:color="auto"/>
              <w:right w:val="single" w:sz="8" w:space="0" w:color="auto"/>
            </w:tcBorders>
            <w:shd w:val="clear" w:color="auto" w:fill="auto"/>
            <w:noWrap/>
            <w:vAlign w:val="center"/>
            <w:hideMark/>
          </w:tcPr>
          <w:p w:rsidR="00383257" w:rsidRPr="00383257" w:rsidRDefault="00383257" w:rsidP="00750033">
            <w:pPr>
              <w:autoSpaceDE/>
              <w:autoSpaceDN/>
              <w:adjustRightInd/>
              <w:spacing w:after="0" w:line="240" w:lineRule="auto"/>
              <w:jc w:val="center"/>
              <w:rPr>
                <w:rFonts w:eastAsia="Times New Roman"/>
                <w:bCs w:val="0"/>
                <w:lang w:eastAsia="fr-FR"/>
              </w:rPr>
            </w:pPr>
            <w:r w:rsidRPr="008817FA">
              <w:rPr>
                <w:rFonts w:eastAsia="Times New Roman"/>
                <w:bCs w:val="0"/>
                <w:sz w:val="22"/>
                <w:szCs w:val="22"/>
                <w:lang w:eastAsia="fr-FR"/>
              </w:rPr>
              <w:t>13,52</w:t>
            </w:r>
          </w:p>
        </w:tc>
      </w:tr>
      <w:tr w:rsidR="00383257" w:rsidRPr="00383257" w:rsidTr="00750033">
        <w:trPr>
          <w:trHeight w:val="547"/>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383257" w:rsidRPr="00383257" w:rsidRDefault="00383257" w:rsidP="00383257">
            <w:pPr>
              <w:autoSpaceDE/>
              <w:autoSpaceDN/>
              <w:adjustRightInd/>
              <w:spacing w:after="0" w:line="240" w:lineRule="auto"/>
              <w:jc w:val="left"/>
              <w:rPr>
                <w:rFonts w:eastAsia="Times New Roman"/>
                <w:b/>
                <w:lang w:eastAsia="fr-FR"/>
              </w:rPr>
            </w:pPr>
            <w:r w:rsidRPr="00383257">
              <w:rPr>
                <w:rFonts w:eastAsia="Times New Roman"/>
                <w:b/>
                <w:sz w:val="22"/>
                <w:szCs w:val="22"/>
                <w:lang w:eastAsia="fr-FR"/>
              </w:rPr>
              <w:t>Entreprises</w:t>
            </w:r>
          </w:p>
        </w:tc>
        <w:tc>
          <w:tcPr>
            <w:tcW w:w="2268" w:type="dxa"/>
            <w:tcBorders>
              <w:top w:val="nil"/>
              <w:left w:val="nil"/>
              <w:bottom w:val="single" w:sz="8" w:space="0" w:color="auto"/>
              <w:right w:val="single" w:sz="8" w:space="0" w:color="auto"/>
            </w:tcBorders>
            <w:shd w:val="clear" w:color="auto" w:fill="auto"/>
            <w:noWrap/>
            <w:vAlign w:val="center"/>
            <w:hideMark/>
          </w:tcPr>
          <w:p w:rsidR="00383257" w:rsidRPr="00383257" w:rsidRDefault="00383257" w:rsidP="00750033">
            <w:pPr>
              <w:autoSpaceDE/>
              <w:autoSpaceDN/>
              <w:adjustRightInd/>
              <w:spacing w:after="0" w:line="240" w:lineRule="auto"/>
              <w:jc w:val="center"/>
              <w:rPr>
                <w:rFonts w:eastAsia="Times New Roman"/>
                <w:bCs w:val="0"/>
                <w:lang w:eastAsia="fr-FR"/>
              </w:rPr>
            </w:pPr>
            <w:r w:rsidRPr="00383257">
              <w:rPr>
                <w:rFonts w:eastAsia="Times New Roman"/>
                <w:bCs w:val="0"/>
                <w:sz w:val="22"/>
                <w:szCs w:val="22"/>
                <w:lang w:eastAsia="fr-FR"/>
              </w:rPr>
              <w:t>1 565,11</w:t>
            </w:r>
          </w:p>
        </w:tc>
        <w:tc>
          <w:tcPr>
            <w:tcW w:w="992" w:type="dxa"/>
            <w:tcBorders>
              <w:top w:val="nil"/>
              <w:left w:val="nil"/>
              <w:bottom w:val="single" w:sz="8" w:space="0" w:color="auto"/>
              <w:right w:val="single" w:sz="8" w:space="0" w:color="auto"/>
            </w:tcBorders>
            <w:shd w:val="clear" w:color="auto" w:fill="auto"/>
            <w:noWrap/>
            <w:vAlign w:val="center"/>
            <w:hideMark/>
          </w:tcPr>
          <w:p w:rsidR="00383257" w:rsidRPr="00383257" w:rsidRDefault="00383257" w:rsidP="00750033">
            <w:pPr>
              <w:autoSpaceDE/>
              <w:autoSpaceDN/>
              <w:adjustRightInd/>
              <w:spacing w:after="0" w:line="240" w:lineRule="auto"/>
              <w:jc w:val="center"/>
              <w:rPr>
                <w:rFonts w:eastAsia="Times New Roman"/>
                <w:bCs w:val="0"/>
                <w:lang w:eastAsia="fr-FR"/>
              </w:rPr>
            </w:pPr>
            <w:r w:rsidRPr="00383257">
              <w:rPr>
                <w:rFonts w:eastAsia="Times New Roman"/>
                <w:bCs w:val="0"/>
                <w:sz w:val="22"/>
                <w:szCs w:val="22"/>
                <w:lang w:eastAsia="fr-FR"/>
              </w:rPr>
              <w:t>1,29</w:t>
            </w:r>
          </w:p>
        </w:tc>
      </w:tr>
      <w:tr w:rsidR="00383257" w:rsidRPr="00383257" w:rsidTr="00750033">
        <w:trPr>
          <w:trHeight w:val="404"/>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383257" w:rsidRPr="00383257" w:rsidRDefault="00383257" w:rsidP="00383257">
            <w:pPr>
              <w:autoSpaceDE/>
              <w:autoSpaceDN/>
              <w:adjustRightInd/>
              <w:spacing w:after="0" w:line="240" w:lineRule="auto"/>
              <w:jc w:val="left"/>
              <w:rPr>
                <w:rFonts w:eastAsia="Times New Roman"/>
                <w:b/>
                <w:lang w:eastAsia="fr-FR"/>
              </w:rPr>
            </w:pPr>
            <w:r w:rsidRPr="00383257">
              <w:rPr>
                <w:rFonts w:eastAsia="Times New Roman"/>
                <w:b/>
                <w:sz w:val="22"/>
                <w:szCs w:val="22"/>
                <w:lang w:eastAsia="fr-FR"/>
              </w:rPr>
              <w:t>Ménages</w:t>
            </w:r>
          </w:p>
        </w:tc>
        <w:tc>
          <w:tcPr>
            <w:tcW w:w="2268" w:type="dxa"/>
            <w:tcBorders>
              <w:top w:val="nil"/>
              <w:left w:val="nil"/>
              <w:bottom w:val="single" w:sz="8" w:space="0" w:color="auto"/>
              <w:right w:val="single" w:sz="8" w:space="0" w:color="auto"/>
            </w:tcBorders>
            <w:shd w:val="clear" w:color="auto" w:fill="auto"/>
            <w:noWrap/>
            <w:vAlign w:val="center"/>
            <w:hideMark/>
          </w:tcPr>
          <w:p w:rsidR="00383257" w:rsidRPr="00383257" w:rsidRDefault="00383257" w:rsidP="00750033">
            <w:pPr>
              <w:autoSpaceDE/>
              <w:autoSpaceDN/>
              <w:adjustRightInd/>
              <w:spacing w:after="0" w:line="240" w:lineRule="auto"/>
              <w:jc w:val="center"/>
              <w:rPr>
                <w:rFonts w:eastAsia="Times New Roman"/>
                <w:bCs w:val="0"/>
                <w:lang w:eastAsia="fr-FR"/>
              </w:rPr>
            </w:pPr>
            <w:r w:rsidRPr="00383257">
              <w:rPr>
                <w:rFonts w:eastAsia="Times New Roman"/>
                <w:bCs w:val="0"/>
                <w:sz w:val="22"/>
                <w:szCs w:val="22"/>
                <w:lang w:eastAsia="fr-FR"/>
              </w:rPr>
              <w:t>74 445,44</w:t>
            </w:r>
          </w:p>
        </w:tc>
        <w:tc>
          <w:tcPr>
            <w:tcW w:w="992" w:type="dxa"/>
            <w:tcBorders>
              <w:top w:val="nil"/>
              <w:left w:val="nil"/>
              <w:bottom w:val="single" w:sz="8" w:space="0" w:color="auto"/>
              <w:right w:val="single" w:sz="8" w:space="0" w:color="auto"/>
            </w:tcBorders>
            <w:shd w:val="clear" w:color="auto" w:fill="auto"/>
            <w:noWrap/>
            <w:vAlign w:val="center"/>
            <w:hideMark/>
          </w:tcPr>
          <w:p w:rsidR="00383257" w:rsidRPr="00383257" w:rsidRDefault="00383257" w:rsidP="00750033">
            <w:pPr>
              <w:autoSpaceDE/>
              <w:autoSpaceDN/>
              <w:adjustRightInd/>
              <w:spacing w:after="0" w:line="240" w:lineRule="auto"/>
              <w:jc w:val="center"/>
              <w:rPr>
                <w:rFonts w:eastAsia="Times New Roman"/>
                <w:bCs w:val="0"/>
                <w:lang w:eastAsia="fr-FR"/>
              </w:rPr>
            </w:pPr>
            <w:r w:rsidRPr="00383257">
              <w:rPr>
                <w:rFonts w:eastAsia="Times New Roman"/>
                <w:bCs w:val="0"/>
                <w:sz w:val="22"/>
                <w:szCs w:val="22"/>
                <w:lang w:eastAsia="fr-FR"/>
              </w:rPr>
              <w:t>61,30</w:t>
            </w:r>
          </w:p>
        </w:tc>
      </w:tr>
      <w:tr w:rsidR="00383257" w:rsidRPr="00383257" w:rsidTr="00750033">
        <w:trPr>
          <w:trHeight w:val="547"/>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383257" w:rsidRPr="00383257" w:rsidRDefault="00383257" w:rsidP="00383257">
            <w:pPr>
              <w:autoSpaceDE/>
              <w:autoSpaceDN/>
              <w:adjustRightInd/>
              <w:spacing w:after="0" w:line="240" w:lineRule="auto"/>
              <w:jc w:val="left"/>
              <w:rPr>
                <w:rFonts w:eastAsia="Times New Roman"/>
                <w:b/>
                <w:lang w:eastAsia="fr-FR"/>
              </w:rPr>
            </w:pPr>
            <w:r w:rsidRPr="00383257">
              <w:rPr>
                <w:rFonts w:eastAsia="Times New Roman"/>
                <w:b/>
                <w:sz w:val="22"/>
                <w:szCs w:val="22"/>
                <w:lang w:eastAsia="fr-FR"/>
              </w:rPr>
              <w:t>Reste du monde</w:t>
            </w:r>
          </w:p>
        </w:tc>
        <w:tc>
          <w:tcPr>
            <w:tcW w:w="2268" w:type="dxa"/>
            <w:tcBorders>
              <w:top w:val="nil"/>
              <w:left w:val="nil"/>
              <w:bottom w:val="single" w:sz="8" w:space="0" w:color="auto"/>
              <w:right w:val="single" w:sz="8" w:space="0" w:color="auto"/>
            </w:tcBorders>
            <w:shd w:val="clear" w:color="auto" w:fill="auto"/>
            <w:noWrap/>
            <w:vAlign w:val="center"/>
            <w:hideMark/>
          </w:tcPr>
          <w:p w:rsidR="00383257" w:rsidRPr="00383257" w:rsidRDefault="00383257" w:rsidP="00750033">
            <w:pPr>
              <w:autoSpaceDE/>
              <w:autoSpaceDN/>
              <w:adjustRightInd/>
              <w:spacing w:after="0" w:line="240" w:lineRule="auto"/>
              <w:jc w:val="center"/>
              <w:rPr>
                <w:rFonts w:eastAsia="Times New Roman"/>
                <w:bCs w:val="0"/>
                <w:lang w:eastAsia="fr-FR"/>
              </w:rPr>
            </w:pPr>
            <w:r w:rsidRPr="00383257">
              <w:rPr>
                <w:rFonts w:eastAsia="Times New Roman"/>
                <w:bCs w:val="0"/>
                <w:sz w:val="22"/>
                <w:szCs w:val="22"/>
                <w:lang w:eastAsia="fr-FR"/>
              </w:rPr>
              <w:t>29 018,27</w:t>
            </w:r>
          </w:p>
        </w:tc>
        <w:tc>
          <w:tcPr>
            <w:tcW w:w="992" w:type="dxa"/>
            <w:tcBorders>
              <w:top w:val="nil"/>
              <w:left w:val="nil"/>
              <w:bottom w:val="single" w:sz="8" w:space="0" w:color="auto"/>
              <w:right w:val="single" w:sz="8" w:space="0" w:color="auto"/>
            </w:tcBorders>
            <w:shd w:val="clear" w:color="auto" w:fill="auto"/>
            <w:noWrap/>
            <w:vAlign w:val="center"/>
            <w:hideMark/>
          </w:tcPr>
          <w:p w:rsidR="00383257" w:rsidRPr="00383257" w:rsidRDefault="00383257" w:rsidP="00750033">
            <w:pPr>
              <w:autoSpaceDE/>
              <w:autoSpaceDN/>
              <w:adjustRightInd/>
              <w:spacing w:after="0" w:line="240" w:lineRule="auto"/>
              <w:jc w:val="center"/>
              <w:rPr>
                <w:rFonts w:eastAsia="Times New Roman"/>
                <w:bCs w:val="0"/>
                <w:lang w:eastAsia="fr-FR"/>
              </w:rPr>
            </w:pPr>
            <w:r w:rsidRPr="00383257">
              <w:rPr>
                <w:rFonts w:eastAsia="Times New Roman"/>
                <w:bCs w:val="0"/>
                <w:sz w:val="22"/>
                <w:szCs w:val="22"/>
                <w:lang w:eastAsia="fr-FR"/>
              </w:rPr>
              <w:t>23,89</w:t>
            </w:r>
          </w:p>
        </w:tc>
      </w:tr>
      <w:tr w:rsidR="00383257" w:rsidRPr="00383257" w:rsidTr="00750033">
        <w:trPr>
          <w:trHeight w:val="555"/>
        </w:trPr>
        <w:tc>
          <w:tcPr>
            <w:tcW w:w="5402" w:type="dxa"/>
            <w:tcBorders>
              <w:top w:val="nil"/>
              <w:left w:val="single" w:sz="8" w:space="0" w:color="auto"/>
              <w:bottom w:val="single" w:sz="8" w:space="0" w:color="auto"/>
              <w:right w:val="single" w:sz="8" w:space="0" w:color="auto"/>
            </w:tcBorders>
            <w:shd w:val="clear" w:color="auto" w:fill="auto"/>
            <w:noWrap/>
            <w:vAlign w:val="center"/>
            <w:hideMark/>
          </w:tcPr>
          <w:p w:rsidR="00383257" w:rsidRPr="00383257" w:rsidRDefault="00383257" w:rsidP="00383257">
            <w:pPr>
              <w:autoSpaceDE/>
              <w:autoSpaceDN/>
              <w:adjustRightInd/>
              <w:spacing w:after="0" w:line="240" w:lineRule="auto"/>
              <w:jc w:val="left"/>
              <w:rPr>
                <w:rFonts w:eastAsia="Times New Roman"/>
                <w:b/>
                <w:lang w:eastAsia="fr-FR"/>
              </w:rPr>
            </w:pPr>
            <w:r w:rsidRPr="00383257">
              <w:rPr>
                <w:rFonts w:eastAsia="Times New Roman"/>
                <w:b/>
                <w:sz w:val="22"/>
                <w:szCs w:val="22"/>
                <w:lang w:eastAsia="fr-FR"/>
              </w:rPr>
              <w:t>Ensemble</w:t>
            </w:r>
          </w:p>
        </w:tc>
        <w:tc>
          <w:tcPr>
            <w:tcW w:w="2268" w:type="dxa"/>
            <w:tcBorders>
              <w:top w:val="nil"/>
              <w:left w:val="nil"/>
              <w:bottom w:val="single" w:sz="8" w:space="0" w:color="auto"/>
              <w:right w:val="single" w:sz="8" w:space="0" w:color="auto"/>
            </w:tcBorders>
            <w:shd w:val="clear" w:color="auto" w:fill="auto"/>
            <w:noWrap/>
            <w:vAlign w:val="center"/>
            <w:hideMark/>
          </w:tcPr>
          <w:p w:rsidR="00383257" w:rsidRPr="00383257" w:rsidRDefault="00383257" w:rsidP="00750033">
            <w:pPr>
              <w:autoSpaceDE/>
              <w:autoSpaceDN/>
              <w:adjustRightInd/>
              <w:spacing w:after="0" w:line="240" w:lineRule="auto"/>
              <w:jc w:val="center"/>
              <w:rPr>
                <w:rFonts w:eastAsia="Times New Roman"/>
                <w:b/>
                <w:lang w:eastAsia="fr-FR"/>
              </w:rPr>
            </w:pPr>
            <w:r w:rsidRPr="00383257">
              <w:rPr>
                <w:rFonts w:eastAsia="Times New Roman"/>
                <w:b/>
                <w:sz w:val="22"/>
                <w:szCs w:val="22"/>
                <w:lang w:eastAsia="fr-FR"/>
              </w:rPr>
              <w:t>121 443,17</w:t>
            </w:r>
          </w:p>
        </w:tc>
        <w:tc>
          <w:tcPr>
            <w:tcW w:w="992" w:type="dxa"/>
            <w:tcBorders>
              <w:top w:val="nil"/>
              <w:left w:val="nil"/>
              <w:bottom w:val="single" w:sz="8" w:space="0" w:color="auto"/>
              <w:right w:val="single" w:sz="8" w:space="0" w:color="auto"/>
            </w:tcBorders>
            <w:shd w:val="clear" w:color="auto" w:fill="auto"/>
            <w:noWrap/>
            <w:vAlign w:val="center"/>
            <w:hideMark/>
          </w:tcPr>
          <w:p w:rsidR="00383257" w:rsidRPr="00383257" w:rsidRDefault="00383257" w:rsidP="00750033">
            <w:pPr>
              <w:autoSpaceDE/>
              <w:autoSpaceDN/>
              <w:adjustRightInd/>
              <w:spacing w:after="0" w:line="240" w:lineRule="auto"/>
              <w:jc w:val="center"/>
              <w:rPr>
                <w:rFonts w:eastAsia="Times New Roman"/>
                <w:b/>
                <w:lang w:eastAsia="fr-FR"/>
              </w:rPr>
            </w:pPr>
            <w:r w:rsidRPr="00383257">
              <w:rPr>
                <w:rFonts w:eastAsia="Times New Roman"/>
                <w:b/>
                <w:sz w:val="22"/>
                <w:szCs w:val="22"/>
                <w:lang w:eastAsia="fr-FR"/>
              </w:rPr>
              <w:t>100</w:t>
            </w:r>
          </w:p>
        </w:tc>
      </w:tr>
    </w:tbl>
    <w:p w:rsidR="00383257" w:rsidRPr="0044670F" w:rsidRDefault="00383257" w:rsidP="00FE3B63">
      <w:pPr>
        <w:spacing w:after="120" w:line="312" w:lineRule="auto"/>
        <w:rPr>
          <w:lang w:eastAsia="fr-FR"/>
        </w:rPr>
      </w:pPr>
    </w:p>
    <w:p w:rsidR="006C002B" w:rsidRPr="005E7404" w:rsidRDefault="005351B9" w:rsidP="00587784">
      <w:pPr>
        <w:spacing w:line="312" w:lineRule="auto"/>
        <w:rPr>
          <w:lang w:eastAsia="fr-FR"/>
        </w:rPr>
      </w:pPr>
      <w:r w:rsidRPr="005E7404">
        <w:rPr>
          <w:lang w:eastAsia="fr-FR"/>
        </w:rPr>
        <w:t xml:space="preserve">Les ménages payent </w:t>
      </w:r>
      <w:r w:rsidR="00967ADA">
        <w:rPr>
          <w:lang w:eastAsia="fr-FR"/>
        </w:rPr>
        <w:t>6</w:t>
      </w:r>
      <w:r w:rsidR="00967ADA" w:rsidRPr="005E7404">
        <w:rPr>
          <w:lang w:eastAsia="fr-FR"/>
        </w:rPr>
        <w:t>1</w:t>
      </w:r>
      <w:r w:rsidRPr="005E7404">
        <w:rPr>
          <w:lang w:eastAsia="fr-FR"/>
        </w:rPr>
        <w:t>,</w:t>
      </w:r>
      <w:r w:rsidR="00967ADA">
        <w:rPr>
          <w:lang w:eastAsia="fr-FR"/>
        </w:rPr>
        <w:t>30</w:t>
      </w:r>
      <w:r w:rsidRPr="005E7404">
        <w:rPr>
          <w:lang w:eastAsia="fr-FR"/>
        </w:rPr>
        <w:t xml:space="preserve">% des dépenses suivis des partenaires extérieurs avec </w:t>
      </w:r>
      <w:r w:rsidR="00967ADA">
        <w:rPr>
          <w:lang w:eastAsia="fr-FR"/>
        </w:rPr>
        <w:t>23</w:t>
      </w:r>
      <w:r w:rsidRPr="005E7404">
        <w:rPr>
          <w:lang w:eastAsia="fr-FR"/>
        </w:rPr>
        <w:t>,</w:t>
      </w:r>
      <w:r w:rsidR="00967ADA">
        <w:rPr>
          <w:lang w:eastAsia="fr-FR"/>
        </w:rPr>
        <w:t>89</w:t>
      </w:r>
      <w:r w:rsidRPr="005E7404">
        <w:rPr>
          <w:lang w:eastAsia="fr-FR"/>
        </w:rPr>
        <w:t xml:space="preserve">%. L’Etat prend en charge </w:t>
      </w:r>
      <w:r w:rsidR="000B2036">
        <w:rPr>
          <w:lang w:eastAsia="fr-FR"/>
        </w:rPr>
        <w:t>13</w:t>
      </w:r>
      <w:r w:rsidRPr="005E7404">
        <w:rPr>
          <w:lang w:eastAsia="fr-FR"/>
        </w:rPr>
        <w:t>,</w:t>
      </w:r>
      <w:r w:rsidR="000B2036">
        <w:rPr>
          <w:lang w:eastAsia="fr-FR"/>
        </w:rPr>
        <w:t>52</w:t>
      </w:r>
      <w:r w:rsidRPr="005E7404">
        <w:rPr>
          <w:lang w:eastAsia="fr-FR"/>
        </w:rPr>
        <w:t xml:space="preserve">% des dépenses du paludisme. Les </w:t>
      </w:r>
      <w:r w:rsidR="000F1DEB">
        <w:rPr>
          <w:lang w:eastAsia="fr-FR"/>
        </w:rPr>
        <w:t xml:space="preserve">Institutions Sans But Lucratif au Service des Ménages </w:t>
      </w:r>
      <w:r w:rsidR="000F1DEB" w:rsidRPr="009D66C4">
        <w:rPr>
          <w:lang w:eastAsia="fr-FR"/>
        </w:rPr>
        <w:t>(</w:t>
      </w:r>
      <w:r w:rsidRPr="009D66C4">
        <w:rPr>
          <w:lang w:eastAsia="fr-FR"/>
        </w:rPr>
        <w:t>ISBLSM</w:t>
      </w:r>
      <w:r w:rsidR="000F1DEB" w:rsidRPr="009D66C4">
        <w:rPr>
          <w:lang w:eastAsia="fr-FR"/>
        </w:rPr>
        <w:t>)</w:t>
      </w:r>
      <w:r w:rsidR="006D2B64" w:rsidRPr="009D66C4">
        <w:rPr>
          <w:lang w:eastAsia="fr-FR"/>
        </w:rPr>
        <w:t xml:space="preserve"> interviennent pour </w:t>
      </w:r>
      <w:r w:rsidR="00F6136D" w:rsidRPr="009D66C4">
        <w:rPr>
          <w:lang w:eastAsia="fr-FR"/>
        </w:rPr>
        <w:t>20</w:t>
      </w:r>
      <w:r w:rsidR="006D2B64" w:rsidRPr="009D66C4">
        <w:rPr>
          <w:lang w:eastAsia="fr-FR"/>
        </w:rPr>
        <w:t>,</w:t>
      </w:r>
      <w:r w:rsidR="00F6136D" w:rsidRPr="009D66C4">
        <w:rPr>
          <w:lang w:eastAsia="fr-FR"/>
        </w:rPr>
        <w:t>59</w:t>
      </w:r>
      <w:r w:rsidR="006D2B64" w:rsidRPr="009D66C4">
        <w:rPr>
          <w:lang w:eastAsia="fr-FR"/>
        </w:rPr>
        <w:t>%</w:t>
      </w:r>
      <w:r w:rsidR="006D2B64">
        <w:rPr>
          <w:lang w:eastAsia="fr-FR"/>
        </w:rPr>
        <w:t xml:space="preserve"> alors </w:t>
      </w:r>
      <w:r w:rsidRPr="005E7404">
        <w:rPr>
          <w:lang w:eastAsia="fr-FR"/>
        </w:rPr>
        <w:t xml:space="preserve">que les entreprises ne dépensent que </w:t>
      </w:r>
      <w:r w:rsidR="000B2036">
        <w:rPr>
          <w:lang w:eastAsia="fr-FR"/>
        </w:rPr>
        <w:t>1</w:t>
      </w:r>
      <w:r w:rsidRPr="005E7404">
        <w:rPr>
          <w:lang w:eastAsia="fr-FR"/>
        </w:rPr>
        <w:t>,</w:t>
      </w:r>
      <w:r w:rsidR="000B2036">
        <w:rPr>
          <w:lang w:eastAsia="fr-FR"/>
        </w:rPr>
        <w:t>29</w:t>
      </w:r>
      <w:r w:rsidRPr="005E7404">
        <w:rPr>
          <w:lang w:eastAsia="fr-FR"/>
        </w:rPr>
        <w:t>% du total.</w:t>
      </w:r>
    </w:p>
    <w:p w:rsidR="006C002B" w:rsidRPr="005E7404" w:rsidRDefault="00567891" w:rsidP="00947090">
      <w:pPr>
        <w:pStyle w:val="Titre2"/>
        <w:ind w:left="1080" w:hanging="720"/>
        <w:rPr>
          <w:noProof/>
        </w:rPr>
      </w:pPr>
      <w:bookmarkStart w:id="64" w:name="_Toc413941250"/>
      <w:r>
        <w:rPr>
          <w:noProof/>
        </w:rPr>
        <w:t xml:space="preserve">4.4. </w:t>
      </w:r>
      <w:r w:rsidR="006C002B" w:rsidRPr="005E7404">
        <w:rPr>
          <w:noProof/>
        </w:rPr>
        <w:t>Répartition</w:t>
      </w:r>
      <w:r w:rsidR="00956234">
        <w:rPr>
          <w:noProof/>
        </w:rPr>
        <w:t xml:space="preserve"> des dépenses du paludisme par t</w:t>
      </w:r>
      <w:r w:rsidR="006C002B" w:rsidRPr="005E7404">
        <w:rPr>
          <w:noProof/>
        </w:rPr>
        <w:t>ranche d’âge</w:t>
      </w:r>
      <w:bookmarkEnd w:id="64"/>
    </w:p>
    <w:p w:rsidR="00916B76" w:rsidRPr="005E7404" w:rsidRDefault="003576C6" w:rsidP="00587784">
      <w:pPr>
        <w:spacing w:line="312" w:lineRule="auto"/>
        <w:rPr>
          <w:lang w:eastAsia="fr-FR"/>
        </w:rPr>
      </w:pPr>
      <w:r w:rsidRPr="005E7404">
        <w:rPr>
          <w:lang w:eastAsia="fr-FR"/>
        </w:rPr>
        <w:t xml:space="preserve">En </w:t>
      </w:r>
      <w:r w:rsidR="008A1F4A" w:rsidRPr="005E7404">
        <w:rPr>
          <w:lang w:eastAsia="fr-FR"/>
        </w:rPr>
        <w:t>201</w:t>
      </w:r>
      <w:r w:rsidR="008A1F4A">
        <w:rPr>
          <w:lang w:eastAsia="fr-FR"/>
        </w:rPr>
        <w:t>4</w:t>
      </w:r>
      <w:r w:rsidRPr="005E7404">
        <w:rPr>
          <w:lang w:eastAsia="fr-FR"/>
        </w:rPr>
        <w:t xml:space="preserve">,  </w:t>
      </w:r>
      <w:r w:rsidR="00D2491E" w:rsidRPr="005E7404">
        <w:rPr>
          <w:lang w:eastAsia="fr-FR"/>
        </w:rPr>
        <w:t xml:space="preserve">la tranche des enfants de moins de 5 ans avec </w:t>
      </w:r>
      <w:r w:rsidR="00D2491E">
        <w:rPr>
          <w:lang w:eastAsia="fr-FR"/>
        </w:rPr>
        <w:t>38,76</w:t>
      </w:r>
      <w:r w:rsidR="00D2491E" w:rsidRPr="005E7404">
        <w:rPr>
          <w:lang w:eastAsia="fr-FR"/>
        </w:rPr>
        <w:t>%</w:t>
      </w:r>
      <w:r w:rsidR="006C002B" w:rsidRPr="005E7404">
        <w:rPr>
          <w:lang w:eastAsia="fr-FR"/>
        </w:rPr>
        <w:t xml:space="preserve">est la couche </w:t>
      </w:r>
      <w:r w:rsidRPr="005E7404">
        <w:rPr>
          <w:lang w:eastAsia="fr-FR"/>
        </w:rPr>
        <w:t xml:space="preserve">qui a </w:t>
      </w:r>
      <w:r w:rsidR="006C002B" w:rsidRPr="005E7404">
        <w:rPr>
          <w:lang w:eastAsia="fr-FR"/>
        </w:rPr>
        <w:t>l</w:t>
      </w:r>
      <w:r w:rsidR="008943C6" w:rsidRPr="005E7404">
        <w:rPr>
          <w:lang w:eastAsia="fr-FR"/>
        </w:rPr>
        <w:t>e</w:t>
      </w:r>
      <w:r w:rsidR="006C002B" w:rsidRPr="005E7404">
        <w:rPr>
          <w:lang w:eastAsia="fr-FR"/>
        </w:rPr>
        <w:t xml:space="preserve"> plus c</w:t>
      </w:r>
      <w:r w:rsidR="000F1DEB">
        <w:rPr>
          <w:lang w:eastAsia="fr-FR"/>
        </w:rPr>
        <w:t>oû</w:t>
      </w:r>
      <w:r w:rsidRPr="005E7404">
        <w:rPr>
          <w:lang w:eastAsia="fr-FR"/>
        </w:rPr>
        <w:t>té</w:t>
      </w:r>
      <w:r w:rsidR="00DA6A1C">
        <w:rPr>
          <w:lang w:eastAsia="fr-FR"/>
        </w:rPr>
        <w:t xml:space="preserve"> </w:t>
      </w:r>
      <w:r w:rsidRPr="005E7404">
        <w:rPr>
          <w:lang w:eastAsia="fr-FR"/>
        </w:rPr>
        <w:t>dans</w:t>
      </w:r>
      <w:r w:rsidR="00DA6A1C">
        <w:rPr>
          <w:lang w:eastAsia="fr-FR"/>
        </w:rPr>
        <w:t xml:space="preserve"> </w:t>
      </w:r>
      <w:r w:rsidRPr="005E7404">
        <w:rPr>
          <w:lang w:eastAsia="fr-FR"/>
        </w:rPr>
        <w:t>les</w:t>
      </w:r>
      <w:r w:rsidR="00DA6A1C">
        <w:rPr>
          <w:lang w:eastAsia="fr-FR"/>
        </w:rPr>
        <w:t xml:space="preserve"> </w:t>
      </w:r>
      <w:r w:rsidRPr="005E7404">
        <w:rPr>
          <w:lang w:eastAsia="fr-FR"/>
        </w:rPr>
        <w:t>dépenses du paludisme</w:t>
      </w:r>
      <w:r w:rsidR="0088270D">
        <w:rPr>
          <w:lang w:eastAsia="fr-FR"/>
        </w:rPr>
        <w:t>,</w:t>
      </w:r>
      <w:r w:rsidR="00DA6A1C">
        <w:rPr>
          <w:lang w:eastAsia="fr-FR"/>
        </w:rPr>
        <w:t xml:space="preserve"> </w:t>
      </w:r>
      <w:r w:rsidR="006C002B" w:rsidRPr="005E7404">
        <w:rPr>
          <w:lang w:eastAsia="fr-FR"/>
        </w:rPr>
        <w:t xml:space="preserve">suivie par </w:t>
      </w:r>
      <w:r w:rsidR="00D2491E" w:rsidRPr="005E7404">
        <w:rPr>
          <w:lang w:eastAsia="fr-FR"/>
        </w:rPr>
        <w:t xml:space="preserve">la population de 15 à 49 ans avec </w:t>
      </w:r>
      <w:r w:rsidR="00D2491E">
        <w:rPr>
          <w:lang w:eastAsia="fr-FR"/>
        </w:rPr>
        <w:t>31,88</w:t>
      </w:r>
      <w:r w:rsidR="00D2491E" w:rsidRPr="005E7404">
        <w:rPr>
          <w:lang w:eastAsia="fr-FR"/>
        </w:rPr>
        <w:t>%,</w:t>
      </w:r>
    </w:p>
    <w:p w:rsidR="000E41F6" w:rsidRDefault="006C002B" w:rsidP="00C63457">
      <w:pPr>
        <w:spacing w:line="312" w:lineRule="auto"/>
        <w:rPr>
          <w:lang w:eastAsia="fr-FR"/>
        </w:rPr>
      </w:pPr>
      <w:r w:rsidRPr="005E7404">
        <w:rPr>
          <w:lang w:eastAsia="fr-FR"/>
        </w:rPr>
        <w:t xml:space="preserve">Les deux tranches à elles seules font </w:t>
      </w:r>
      <w:r w:rsidR="0088270D" w:rsidRPr="009D66C4">
        <w:rPr>
          <w:lang w:eastAsia="fr-FR"/>
        </w:rPr>
        <w:t xml:space="preserve">70,64 </w:t>
      </w:r>
      <w:r w:rsidRPr="009D66C4">
        <w:rPr>
          <w:lang w:eastAsia="fr-FR"/>
        </w:rPr>
        <w:t>%</w:t>
      </w:r>
      <w:r w:rsidRPr="005E7404">
        <w:rPr>
          <w:lang w:eastAsia="fr-FR"/>
        </w:rPr>
        <w:t xml:space="preserve"> des dépenses totales du paludisme. Cette tendance traduit les efforts déployés par l’Etat et </w:t>
      </w:r>
      <w:r w:rsidR="003576C6" w:rsidRPr="005E7404">
        <w:rPr>
          <w:lang w:eastAsia="fr-FR"/>
        </w:rPr>
        <w:t xml:space="preserve">ses partenaires en </w:t>
      </w:r>
      <w:r w:rsidRPr="005E7404">
        <w:rPr>
          <w:lang w:eastAsia="fr-FR"/>
        </w:rPr>
        <w:t xml:space="preserve"> faveur de ces deux tranches qui sont les p</w:t>
      </w:r>
      <w:r w:rsidR="0053700E">
        <w:rPr>
          <w:lang w:eastAsia="fr-FR"/>
        </w:rPr>
        <w:t>lus touchées par la pathologie.</w:t>
      </w:r>
    </w:p>
    <w:p w:rsidR="006C002B" w:rsidRDefault="006D2B64" w:rsidP="006D2B64">
      <w:pPr>
        <w:pStyle w:val="Lgende"/>
        <w:rPr>
          <w:color w:val="000000" w:themeColor="text1"/>
          <w:sz w:val="22"/>
          <w:szCs w:val="22"/>
          <w:lang w:eastAsia="fr-FR"/>
        </w:rPr>
      </w:pPr>
      <w:bookmarkStart w:id="65" w:name="_Toc413942144"/>
      <w:r w:rsidRPr="006D2B64">
        <w:rPr>
          <w:color w:val="000000" w:themeColor="text1"/>
          <w:sz w:val="22"/>
          <w:szCs w:val="22"/>
        </w:rPr>
        <w:t xml:space="preserve">Graphique </w:t>
      </w:r>
      <w:r w:rsidR="00E72F8E" w:rsidRPr="006D2B64">
        <w:rPr>
          <w:color w:val="000000" w:themeColor="text1"/>
          <w:sz w:val="22"/>
          <w:szCs w:val="22"/>
        </w:rPr>
        <w:fldChar w:fldCharType="begin"/>
      </w:r>
      <w:r w:rsidRPr="006D2B64">
        <w:rPr>
          <w:color w:val="000000" w:themeColor="text1"/>
          <w:sz w:val="22"/>
          <w:szCs w:val="22"/>
        </w:rPr>
        <w:instrText xml:space="preserve"> STYLEREF 2 \s </w:instrText>
      </w:r>
      <w:r w:rsidR="00E72F8E" w:rsidRPr="006D2B64">
        <w:rPr>
          <w:color w:val="000000" w:themeColor="text1"/>
          <w:sz w:val="22"/>
          <w:szCs w:val="22"/>
        </w:rPr>
        <w:fldChar w:fldCharType="separate"/>
      </w:r>
      <w:r w:rsidRPr="006D2B64">
        <w:rPr>
          <w:noProof/>
          <w:color w:val="000000" w:themeColor="text1"/>
          <w:sz w:val="22"/>
          <w:szCs w:val="22"/>
        </w:rPr>
        <w:t>4.4</w:t>
      </w:r>
      <w:r w:rsidR="00E72F8E" w:rsidRPr="006D2B64">
        <w:rPr>
          <w:color w:val="000000" w:themeColor="text1"/>
          <w:sz w:val="22"/>
          <w:szCs w:val="22"/>
        </w:rPr>
        <w:fldChar w:fldCharType="end"/>
      </w:r>
      <w:r w:rsidRPr="006D2B64">
        <w:rPr>
          <w:color w:val="000000" w:themeColor="text1"/>
          <w:sz w:val="22"/>
          <w:szCs w:val="22"/>
        </w:rPr>
        <w:t>.</w:t>
      </w:r>
      <w:r w:rsidR="00E72F8E" w:rsidRPr="006D2B64">
        <w:rPr>
          <w:color w:val="000000" w:themeColor="text1"/>
          <w:sz w:val="22"/>
          <w:szCs w:val="22"/>
        </w:rPr>
        <w:fldChar w:fldCharType="begin"/>
      </w:r>
      <w:r w:rsidRPr="006D2B64">
        <w:rPr>
          <w:color w:val="000000" w:themeColor="text1"/>
          <w:sz w:val="22"/>
          <w:szCs w:val="22"/>
        </w:rPr>
        <w:instrText xml:space="preserve"> SEQ Graphique \* ARABIC \s 2 </w:instrText>
      </w:r>
      <w:r w:rsidR="00E72F8E" w:rsidRPr="006D2B64">
        <w:rPr>
          <w:color w:val="000000" w:themeColor="text1"/>
          <w:sz w:val="22"/>
          <w:szCs w:val="22"/>
        </w:rPr>
        <w:fldChar w:fldCharType="separate"/>
      </w:r>
      <w:r w:rsidRPr="006D2B64">
        <w:rPr>
          <w:noProof/>
          <w:color w:val="000000" w:themeColor="text1"/>
          <w:sz w:val="22"/>
          <w:szCs w:val="22"/>
        </w:rPr>
        <w:t>1</w:t>
      </w:r>
      <w:r w:rsidR="00E72F8E" w:rsidRPr="006D2B64">
        <w:rPr>
          <w:color w:val="000000" w:themeColor="text1"/>
          <w:sz w:val="22"/>
          <w:szCs w:val="22"/>
        </w:rPr>
        <w:fldChar w:fldCharType="end"/>
      </w:r>
      <w:r w:rsidR="006C002B" w:rsidRPr="006D2B64">
        <w:rPr>
          <w:color w:val="000000" w:themeColor="text1"/>
          <w:sz w:val="22"/>
          <w:szCs w:val="22"/>
          <w:lang w:eastAsia="fr-FR"/>
        </w:rPr>
        <w:t> : Répartition des dépenses de paludisme par tranche d’âge</w:t>
      </w:r>
      <w:bookmarkEnd w:id="65"/>
    </w:p>
    <w:p w:rsidR="00662BD4" w:rsidRDefault="00B62F82" w:rsidP="00662BD4">
      <w:pPr>
        <w:rPr>
          <w:lang w:eastAsia="fr-FR"/>
        </w:rPr>
      </w:pPr>
      <w:r w:rsidRPr="00B62F82">
        <w:rPr>
          <w:noProof/>
          <w:lang w:eastAsia="fr-FR"/>
        </w:rPr>
        <w:drawing>
          <wp:inline distT="0" distB="0" distL="0" distR="0">
            <wp:extent cx="4572000" cy="2743200"/>
            <wp:effectExtent l="19050" t="0" r="1905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002B" w:rsidRPr="00947090" w:rsidRDefault="000D66DA" w:rsidP="00C924C8">
      <w:pPr>
        <w:pStyle w:val="Titre2"/>
        <w:rPr>
          <w:noProof/>
        </w:rPr>
      </w:pPr>
      <w:bookmarkStart w:id="66" w:name="_Toc413941251"/>
      <w:r>
        <w:rPr>
          <w:noProof/>
        </w:rPr>
        <w:t xml:space="preserve">4.5. </w:t>
      </w:r>
      <w:r w:rsidR="006C002B" w:rsidRPr="0068326D">
        <w:rPr>
          <w:noProof/>
        </w:rPr>
        <w:t>Répartition des dépenses par prestataires de services</w:t>
      </w:r>
      <w:bookmarkEnd w:id="66"/>
    </w:p>
    <w:p w:rsidR="00E02395" w:rsidRPr="0068326D" w:rsidRDefault="00E8426A" w:rsidP="00587784">
      <w:pPr>
        <w:spacing w:line="312" w:lineRule="auto"/>
        <w:rPr>
          <w:lang w:eastAsia="fr-FR"/>
        </w:rPr>
      </w:pPr>
      <w:r w:rsidRPr="0068326D">
        <w:rPr>
          <w:lang w:eastAsia="fr-FR"/>
        </w:rPr>
        <w:t xml:space="preserve">Le tableau </w:t>
      </w:r>
      <w:r w:rsidR="006D2B64" w:rsidRPr="006D2B64">
        <w:rPr>
          <w:lang w:eastAsia="fr-FR"/>
        </w:rPr>
        <w:t>4.5.1</w:t>
      </w:r>
      <w:r w:rsidRPr="0068326D">
        <w:rPr>
          <w:lang w:eastAsia="fr-FR"/>
        </w:rPr>
        <w:t xml:space="preserve"> récapitule les dépenses du paludisme par prestataire de soins de santé.</w:t>
      </w:r>
    </w:p>
    <w:p w:rsidR="006D2B64" w:rsidRDefault="006D2B64">
      <w:pPr>
        <w:autoSpaceDE/>
        <w:autoSpaceDN/>
        <w:adjustRightInd/>
        <w:spacing w:after="200" w:line="276" w:lineRule="auto"/>
        <w:jc w:val="left"/>
        <w:rPr>
          <w:i/>
          <w:iCs/>
          <w:color w:val="000000" w:themeColor="text1"/>
          <w:sz w:val="22"/>
          <w:szCs w:val="22"/>
        </w:rPr>
      </w:pPr>
      <w:r>
        <w:rPr>
          <w:color w:val="000000" w:themeColor="text1"/>
          <w:sz w:val="22"/>
          <w:szCs w:val="22"/>
        </w:rPr>
        <w:br w:type="page"/>
      </w:r>
    </w:p>
    <w:p w:rsidR="000D66DA" w:rsidRPr="00947090" w:rsidRDefault="000D66DA" w:rsidP="00FA33A9">
      <w:pPr>
        <w:autoSpaceDE/>
        <w:autoSpaceDN/>
        <w:adjustRightInd/>
        <w:spacing w:after="0" w:line="240" w:lineRule="auto"/>
        <w:jc w:val="left"/>
        <w:rPr>
          <w:rFonts w:eastAsia="Times New Roman"/>
          <w:bCs w:val="0"/>
          <w:i/>
          <w:lang w:eastAsia="fr-FR"/>
        </w:rPr>
      </w:pPr>
      <w:r w:rsidRPr="00947090">
        <w:rPr>
          <w:rFonts w:eastAsia="Times New Roman"/>
          <w:bCs w:val="0"/>
          <w:i/>
          <w:sz w:val="22"/>
          <w:szCs w:val="22"/>
          <w:lang w:eastAsia="fr-FR"/>
        </w:rPr>
        <w:t>Tableau 4.5.1 : Répartition des dépenses de paludisme par prestataire de soins de santé (en million de francs CFA)</w:t>
      </w:r>
    </w:p>
    <w:tbl>
      <w:tblPr>
        <w:tblW w:w="9487" w:type="dxa"/>
        <w:tblInd w:w="59" w:type="dxa"/>
        <w:tblCellMar>
          <w:left w:w="70" w:type="dxa"/>
          <w:right w:w="70" w:type="dxa"/>
        </w:tblCellMar>
        <w:tblLook w:val="04A0"/>
      </w:tblPr>
      <w:tblGrid>
        <w:gridCol w:w="1460"/>
        <w:gridCol w:w="2946"/>
        <w:gridCol w:w="1701"/>
        <w:gridCol w:w="1701"/>
        <w:gridCol w:w="1679"/>
      </w:tblGrid>
      <w:tr w:rsidR="00A80ABC" w:rsidRPr="00BC6FBD" w:rsidTr="00C63457">
        <w:trPr>
          <w:trHeight w:val="330"/>
        </w:trPr>
        <w:tc>
          <w:tcPr>
            <w:tcW w:w="4406" w:type="dxa"/>
            <w:gridSpan w:val="2"/>
            <w:tcBorders>
              <w:top w:val="single" w:sz="8" w:space="0" w:color="auto"/>
              <w:left w:val="single" w:sz="8" w:space="0" w:color="auto"/>
              <w:bottom w:val="single" w:sz="8" w:space="0" w:color="auto"/>
              <w:right w:val="nil"/>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
                <w:lang w:eastAsia="fr-FR"/>
              </w:rPr>
            </w:pPr>
            <w:r w:rsidRPr="00BC6FBD">
              <w:rPr>
                <w:rFonts w:eastAsia="Times New Roman"/>
                <w:b/>
                <w:lang w:eastAsia="fr-FR"/>
              </w:rPr>
              <w:t>Prestataires</w:t>
            </w:r>
          </w:p>
        </w:tc>
        <w:tc>
          <w:tcPr>
            <w:tcW w:w="1701" w:type="dxa"/>
            <w:tcBorders>
              <w:top w:val="single" w:sz="8" w:space="0" w:color="auto"/>
              <w:left w:val="nil"/>
              <w:bottom w:val="single" w:sz="8" w:space="0" w:color="auto"/>
              <w:right w:val="nil"/>
            </w:tcBorders>
            <w:shd w:val="clear" w:color="auto" w:fill="auto"/>
            <w:noWrap/>
            <w:vAlign w:val="bottom"/>
            <w:hideMark/>
          </w:tcPr>
          <w:p w:rsidR="00A80ABC" w:rsidRPr="00BC6FBD" w:rsidRDefault="00A80ABC" w:rsidP="00BC6FBD">
            <w:pPr>
              <w:autoSpaceDE/>
              <w:autoSpaceDN/>
              <w:adjustRightInd/>
              <w:spacing w:after="0" w:line="240" w:lineRule="auto"/>
              <w:jc w:val="left"/>
              <w:rPr>
                <w:rFonts w:eastAsia="Times New Roman"/>
                <w:b/>
                <w:lang w:eastAsia="fr-FR"/>
              </w:rPr>
            </w:pPr>
            <w:r w:rsidRPr="00BC6FBD">
              <w:rPr>
                <w:rFonts w:eastAsia="Times New Roman"/>
                <w:b/>
                <w:lang w:eastAsia="fr-FR"/>
              </w:rPr>
              <w:t>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
                <w:lang w:eastAsia="fr-FR"/>
              </w:rPr>
            </w:pPr>
            <w:r w:rsidRPr="00BC6FBD">
              <w:rPr>
                <w:rFonts w:eastAsia="Times New Roman"/>
                <w:b/>
                <w:lang w:eastAsia="fr-FR"/>
              </w:rPr>
              <w:t>%</w:t>
            </w:r>
          </w:p>
        </w:tc>
        <w:tc>
          <w:tcPr>
            <w:tcW w:w="1679" w:type="dxa"/>
            <w:tcBorders>
              <w:top w:val="single" w:sz="8" w:space="0" w:color="auto"/>
              <w:left w:val="single" w:sz="8" w:space="0" w:color="auto"/>
              <w:bottom w:val="single" w:sz="8" w:space="0" w:color="auto"/>
              <w:right w:val="single" w:sz="8" w:space="0" w:color="auto"/>
            </w:tcBorders>
          </w:tcPr>
          <w:p w:rsidR="00A80ABC" w:rsidRPr="00BC6FBD" w:rsidRDefault="00A80ABC" w:rsidP="00BC6FBD">
            <w:pPr>
              <w:autoSpaceDE/>
              <w:autoSpaceDN/>
              <w:adjustRightInd/>
              <w:spacing w:after="0" w:line="240" w:lineRule="auto"/>
              <w:jc w:val="center"/>
              <w:rPr>
                <w:rFonts w:eastAsia="Times New Roman"/>
                <w:b/>
                <w:lang w:eastAsia="fr-FR"/>
              </w:rPr>
            </w:pPr>
          </w:p>
        </w:tc>
      </w:tr>
      <w:tr w:rsidR="00A80ABC" w:rsidRPr="00BC6FBD" w:rsidTr="00490FCF">
        <w:trPr>
          <w:trHeight w:val="896"/>
        </w:trPr>
        <w:tc>
          <w:tcPr>
            <w:tcW w:w="1460" w:type="dxa"/>
            <w:vMerge w:val="restart"/>
            <w:tcBorders>
              <w:top w:val="nil"/>
              <w:left w:val="single" w:sz="8" w:space="0" w:color="auto"/>
              <w:bottom w:val="single" w:sz="8" w:space="0" w:color="000000"/>
              <w:right w:val="single" w:sz="8" w:space="0" w:color="auto"/>
            </w:tcBorders>
            <w:shd w:val="clear" w:color="auto" w:fill="auto"/>
            <w:vAlign w:val="bottom"/>
            <w:hideMark/>
          </w:tcPr>
          <w:p w:rsidR="00A80ABC" w:rsidRPr="00BC6FBD" w:rsidRDefault="00A80ABC" w:rsidP="00BC6FBD">
            <w:pPr>
              <w:autoSpaceDE/>
              <w:autoSpaceDN/>
              <w:adjustRightInd/>
              <w:spacing w:after="0" w:line="240" w:lineRule="auto"/>
              <w:jc w:val="left"/>
              <w:rPr>
                <w:rFonts w:eastAsia="Times New Roman"/>
                <w:b/>
                <w:lang w:eastAsia="fr-FR"/>
              </w:rPr>
            </w:pPr>
            <w:r w:rsidRPr="00BC6FBD">
              <w:rPr>
                <w:rFonts w:eastAsia="Times New Roman"/>
                <w:b/>
                <w:sz w:val="22"/>
                <w:szCs w:val="22"/>
                <w:lang w:eastAsia="fr-FR"/>
              </w:rPr>
              <w:t>Hôpitaux</w:t>
            </w:r>
          </w:p>
        </w:tc>
        <w:tc>
          <w:tcPr>
            <w:tcW w:w="2946" w:type="dxa"/>
            <w:tcBorders>
              <w:top w:val="nil"/>
              <w:left w:val="single" w:sz="8" w:space="0" w:color="auto"/>
              <w:bottom w:val="nil"/>
              <w:right w:val="single" w:sz="8" w:space="0" w:color="auto"/>
            </w:tcBorders>
            <w:shd w:val="clear" w:color="auto" w:fill="auto"/>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Hôpitaux généraux</w:t>
            </w:r>
          </w:p>
        </w:tc>
        <w:tc>
          <w:tcPr>
            <w:tcW w:w="1701" w:type="dxa"/>
            <w:tcBorders>
              <w:top w:val="nil"/>
              <w:left w:val="single" w:sz="8" w:space="0" w:color="auto"/>
              <w:bottom w:val="nil"/>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49 662,77</w:t>
            </w:r>
          </w:p>
        </w:tc>
        <w:tc>
          <w:tcPr>
            <w:tcW w:w="1701" w:type="dxa"/>
            <w:tcBorders>
              <w:top w:val="nil"/>
              <w:left w:val="single" w:sz="8" w:space="0" w:color="auto"/>
              <w:bottom w:val="nil"/>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40,89</w:t>
            </w:r>
          </w:p>
        </w:tc>
        <w:tc>
          <w:tcPr>
            <w:tcW w:w="1679" w:type="dxa"/>
            <w:vMerge w:val="restart"/>
            <w:tcBorders>
              <w:top w:val="nil"/>
              <w:left w:val="single" w:sz="8" w:space="0" w:color="auto"/>
              <w:bottom w:val="nil"/>
              <w:right w:val="single" w:sz="8" w:space="0" w:color="auto"/>
            </w:tcBorders>
          </w:tcPr>
          <w:p w:rsidR="00A80ABC" w:rsidRPr="00BC6FBD" w:rsidRDefault="006D45AD" w:rsidP="00C63457">
            <w:pPr>
              <w:spacing w:after="0" w:line="240" w:lineRule="auto"/>
              <w:jc w:val="center"/>
              <w:rPr>
                <w:rFonts w:eastAsia="Times New Roman"/>
                <w:bCs w:val="0"/>
                <w:i/>
                <w:iCs/>
                <w:lang w:eastAsia="fr-FR"/>
              </w:rPr>
            </w:pPr>
            <w:r>
              <w:rPr>
                <w:rFonts w:eastAsia="Times New Roman"/>
                <w:bCs w:val="0"/>
                <w:i/>
                <w:iCs/>
                <w:lang w:eastAsia="fr-FR"/>
              </w:rPr>
              <w:t>40,</w:t>
            </w:r>
            <w:r w:rsidR="00A80ABC">
              <w:rPr>
                <w:rFonts w:eastAsia="Times New Roman"/>
                <w:bCs w:val="0"/>
                <w:i/>
                <w:iCs/>
                <w:lang w:eastAsia="fr-FR"/>
              </w:rPr>
              <w:t>9</w:t>
            </w:r>
            <w:r>
              <w:rPr>
                <w:rFonts w:eastAsia="Times New Roman"/>
                <w:bCs w:val="0"/>
                <w:i/>
                <w:iCs/>
                <w:lang w:eastAsia="fr-FR"/>
              </w:rPr>
              <w:t>2</w:t>
            </w:r>
          </w:p>
        </w:tc>
      </w:tr>
      <w:tr w:rsidR="00A80ABC" w:rsidRPr="00BC6FBD" w:rsidTr="00490FCF">
        <w:trPr>
          <w:trHeight w:val="646"/>
        </w:trPr>
        <w:tc>
          <w:tcPr>
            <w:tcW w:w="1460" w:type="dxa"/>
            <w:vMerge/>
            <w:tcBorders>
              <w:top w:val="nil"/>
              <w:left w:val="single" w:sz="8" w:space="0" w:color="auto"/>
              <w:bottom w:val="single" w:sz="8" w:space="0" w:color="000000"/>
              <w:right w:val="single" w:sz="8" w:space="0" w:color="auto"/>
            </w:tcBorders>
            <w:vAlign w:val="center"/>
            <w:hideMark/>
          </w:tcPr>
          <w:p w:rsidR="00A80ABC" w:rsidRPr="00BC6FBD" w:rsidRDefault="00A80ABC" w:rsidP="00BC6FBD">
            <w:pPr>
              <w:autoSpaceDE/>
              <w:autoSpaceDN/>
              <w:adjustRightInd/>
              <w:spacing w:after="0" w:line="240" w:lineRule="auto"/>
              <w:jc w:val="left"/>
              <w:rPr>
                <w:rFonts w:eastAsia="Times New Roman"/>
                <w:b/>
                <w:lang w:eastAsia="fr-FR"/>
              </w:rPr>
            </w:pPr>
          </w:p>
        </w:tc>
        <w:tc>
          <w:tcPr>
            <w:tcW w:w="2946" w:type="dxa"/>
            <w:tcBorders>
              <w:top w:val="nil"/>
              <w:left w:val="nil"/>
              <w:bottom w:val="single" w:sz="8" w:space="0" w:color="auto"/>
              <w:right w:val="single" w:sz="8" w:space="0" w:color="auto"/>
            </w:tcBorders>
            <w:shd w:val="clear" w:color="auto" w:fill="auto"/>
            <w:hideMark/>
          </w:tcPr>
          <w:p w:rsidR="00A80ABC" w:rsidRPr="00BC6FBD" w:rsidRDefault="00A80ABC"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Hôpitaux non spécifiés (n.c.a.)</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35,38</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0,03</w:t>
            </w:r>
          </w:p>
        </w:tc>
        <w:tc>
          <w:tcPr>
            <w:tcW w:w="1679" w:type="dxa"/>
            <w:vMerge/>
            <w:tcBorders>
              <w:left w:val="single" w:sz="8" w:space="0" w:color="auto"/>
              <w:bottom w:val="single" w:sz="8" w:space="0" w:color="auto"/>
              <w:right w:val="single" w:sz="8" w:space="0" w:color="auto"/>
            </w:tcBorders>
          </w:tcPr>
          <w:p w:rsidR="00A80ABC" w:rsidRPr="00BC6FBD" w:rsidRDefault="00A80ABC" w:rsidP="00BC6FBD">
            <w:pPr>
              <w:autoSpaceDE/>
              <w:autoSpaceDN/>
              <w:adjustRightInd/>
              <w:spacing w:after="0" w:line="240" w:lineRule="auto"/>
              <w:jc w:val="center"/>
              <w:rPr>
                <w:rFonts w:eastAsia="Times New Roman"/>
                <w:bCs w:val="0"/>
                <w:i/>
                <w:iCs/>
                <w:lang w:eastAsia="fr-FR"/>
              </w:rPr>
            </w:pPr>
          </w:p>
        </w:tc>
      </w:tr>
      <w:tr w:rsidR="00A80ABC" w:rsidRPr="00BC6FBD" w:rsidTr="00490FCF">
        <w:trPr>
          <w:trHeight w:val="600"/>
        </w:trPr>
        <w:tc>
          <w:tcPr>
            <w:tcW w:w="1460" w:type="dxa"/>
            <w:vMerge w:val="restart"/>
            <w:tcBorders>
              <w:top w:val="nil"/>
              <w:left w:val="single" w:sz="8" w:space="0" w:color="auto"/>
              <w:bottom w:val="single" w:sz="8" w:space="0" w:color="000000"/>
              <w:right w:val="single" w:sz="8" w:space="0" w:color="auto"/>
            </w:tcBorders>
            <w:shd w:val="clear" w:color="auto" w:fill="auto"/>
            <w:vAlign w:val="bottom"/>
            <w:hideMark/>
          </w:tcPr>
          <w:p w:rsidR="00A80ABC" w:rsidRPr="00BC6FBD" w:rsidRDefault="00A80ABC" w:rsidP="00BC6FBD">
            <w:pPr>
              <w:autoSpaceDE/>
              <w:autoSpaceDN/>
              <w:adjustRightInd/>
              <w:spacing w:after="0" w:line="240" w:lineRule="auto"/>
              <w:jc w:val="left"/>
              <w:rPr>
                <w:rFonts w:eastAsia="Times New Roman"/>
                <w:b/>
                <w:lang w:eastAsia="fr-FR"/>
              </w:rPr>
            </w:pPr>
            <w:r w:rsidRPr="00BC6FBD">
              <w:rPr>
                <w:rFonts w:eastAsia="Times New Roman"/>
                <w:b/>
                <w:sz w:val="22"/>
                <w:szCs w:val="22"/>
                <w:lang w:eastAsia="fr-FR"/>
              </w:rPr>
              <w:t>Prestataires de soins de santé ambulatoire</w:t>
            </w:r>
          </w:p>
        </w:tc>
        <w:tc>
          <w:tcPr>
            <w:tcW w:w="2946" w:type="dxa"/>
            <w:tcBorders>
              <w:top w:val="nil"/>
              <w:left w:val="nil"/>
              <w:bottom w:val="nil"/>
              <w:right w:val="single" w:sz="8" w:space="0" w:color="auto"/>
            </w:tcBorders>
            <w:shd w:val="clear" w:color="auto" w:fill="auto"/>
            <w:vAlign w:val="bottom"/>
            <w:hideMark/>
          </w:tcPr>
          <w:p w:rsidR="00A80ABC" w:rsidRPr="00BC6FBD" w:rsidRDefault="00A80ABC"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Cabinets médicaux</w:t>
            </w:r>
          </w:p>
        </w:tc>
        <w:tc>
          <w:tcPr>
            <w:tcW w:w="1701" w:type="dxa"/>
            <w:tcBorders>
              <w:top w:val="nil"/>
              <w:left w:val="nil"/>
              <w:bottom w:val="nil"/>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8 576,64</w:t>
            </w:r>
          </w:p>
        </w:tc>
        <w:tc>
          <w:tcPr>
            <w:tcW w:w="1701" w:type="dxa"/>
            <w:tcBorders>
              <w:top w:val="nil"/>
              <w:left w:val="nil"/>
              <w:bottom w:val="nil"/>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7,06</w:t>
            </w:r>
          </w:p>
        </w:tc>
        <w:tc>
          <w:tcPr>
            <w:tcW w:w="1679" w:type="dxa"/>
            <w:vMerge w:val="restart"/>
            <w:tcBorders>
              <w:top w:val="nil"/>
              <w:left w:val="nil"/>
              <w:right w:val="single" w:sz="8" w:space="0" w:color="auto"/>
            </w:tcBorders>
          </w:tcPr>
          <w:p w:rsidR="00A80ABC" w:rsidRPr="00C63457" w:rsidRDefault="00A80ABC" w:rsidP="00C63457">
            <w:pPr>
              <w:spacing w:after="0" w:line="240" w:lineRule="auto"/>
              <w:jc w:val="center"/>
              <w:rPr>
                <w:rFonts w:eastAsia="Times New Roman"/>
                <w:bCs w:val="0"/>
                <w:i/>
                <w:iCs/>
                <w:lang w:eastAsia="fr-FR"/>
              </w:rPr>
            </w:pPr>
          </w:p>
          <w:p w:rsidR="00A80ABC" w:rsidRPr="00C63457" w:rsidRDefault="00A80ABC" w:rsidP="00C63457">
            <w:pPr>
              <w:spacing w:after="0" w:line="240" w:lineRule="auto"/>
              <w:jc w:val="center"/>
              <w:rPr>
                <w:rFonts w:eastAsia="Times New Roman"/>
                <w:bCs w:val="0"/>
                <w:i/>
                <w:iCs/>
                <w:lang w:eastAsia="fr-FR"/>
              </w:rPr>
            </w:pPr>
          </w:p>
          <w:p w:rsidR="00A80ABC" w:rsidRPr="00C63457" w:rsidRDefault="00A80ABC" w:rsidP="00C63457">
            <w:pPr>
              <w:spacing w:after="0" w:line="240" w:lineRule="auto"/>
              <w:jc w:val="center"/>
              <w:rPr>
                <w:rFonts w:eastAsia="Times New Roman"/>
                <w:bCs w:val="0"/>
                <w:i/>
                <w:iCs/>
                <w:lang w:eastAsia="fr-FR"/>
              </w:rPr>
            </w:pPr>
          </w:p>
          <w:p w:rsidR="00A80ABC" w:rsidRPr="00C63457" w:rsidRDefault="00A80ABC" w:rsidP="00C63457">
            <w:pPr>
              <w:spacing w:after="0" w:line="240" w:lineRule="auto"/>
              <w:jc w:val="center"/>
              <w:rPr>
                <w:rFonts w:eastAsia="Times New Roman"/>
                <w:bCs w:val="0"/>
                <w:i/>
                <w:iCs/>
                <w:lang w:eastAsia="fr-FR"/>
              </w:rPr>
            </w:pPr>
          </w:p>
          <w:p w:rsidR="00A80ABC" w:rsidRPr="00C63457" w:rsidRDefault="00A80ABC" w:rsidP="00C63457">
            <w:pPr>
              <w:spacing w:after="0" w:line="240" w:lineRule="auto"/>
              <w:jc w:val="center"/>
              <w:rPr>
                <w:rFonts w:eastAsia="Times New Roman"/>
                <w:bCs w:val="0"/>
                <w:i/>
                <w:iCs/>
                <w:lang w:eastAsia="fr-FR"/>
              </w:rPr>
            </w:pPr>
          </w:p>
          <w:p w:rsidR="00A80ABC" w:rsidRPr="00C63457" w:rsidRDefault="00A80ABC" w:rsidP="00C63457">
            <w:pPr>
              <w:spacing w:after="0" w:line="240" w:lineRule="auto"/>
              <w:jc w:val="center"/>
              <w:rPr>
                <w:rFonts w:eastAsia="Times New Roman"/>
                <w:bCs w:val="0"/>
                <w:i/>
                <w:iCs/>
                <w:lang w:eastAsia="fr-FR"/>
              </w:rPr>
            </w:pPr>
          </w:p>
          <w:p w:rsidR="00A80ABC" w:rsidRPr="00C63457" w:rsidRDefault="00A80ABC" w:rsidP="00C63457">
            <w:pPr>
              <w:spacing w:after="0" w:line="240" w:lineRule="auto"/>
              <w:jc w:val="center"/>
              <w:rPr>
                <w:rFonts w:eastAsia="Times New Roman"/>
                <w:bCs w:val="0"/>
                <w:i/>
                <w:iCs/>
                <w:lang w:eastAsia="fr-FR"/>
              </w:rPr>
            </w:pPr>
          </w:p>
          <w:p w:rsidR="00A80ABC" w:rsidRPr="00C63457" w:rsidRDefault="00A80ABC" w:rsidP="00C63457">
            <w:pPr>
              <w:spacing w:after="0" w:line="240" w:lineRule="auto"/>
              <w:jc w:val="center"/>
              <w:rPr>
                <w:rFonts w:eastAsia="Times New Roman"/>
                <w:bCs w:val="0"/>
                <w:i/>
                <w:iCs/>
                <w:lang w:eastAsia="fr-FR"/>
              </w:rPr>
            </w:pPr>
          </w:p>
          <w:p w:rsidR="00A80ABC" w:rsidRPr="00C63457" w:rsidRDefault="00A80ABC" w:rsidP="00C63457">
            <w:pPr>
              <w:spacing w:after="0" w:line="240" w:lineRule="auto"/>
              <w:jc w:val="center"/>
              <w:rPr>
                <w:rFonts w:eastAsia="Times New Roman"/>
                <w:bCs w:val="0"/>
                <w:i/>
                <w:iCs/>
                <w:lang w:eastAsia="fr-FR"/>
              </w:rPr>
            </w:pPr>
            <w:r w:rsidRPr="00C63457">
              <w:rPr>
                <w:rFonts w:eastAsia="Times New Roman"/>
                <w:bCs w:val="0"/>
                <w:i/>
                <w:iCs/>
                <w:lang w:eastAsia="fr-FR"/>
              </w:rPr>
              <w:t>36,45</w:t>
            </w:r>
          </w:p>
        </w:tc>
      </w:tr>
      <w:tr w:rsidR="00A80ABC" w:rsidRPr="00BC6FBD" w:rsidTr="00490FCF">
        <w:trPr>
          <w:trHeight w:val="1161"/>
        </w:trPr>
        <w:tc>
          <w:tcPr>
            <w:tcW w:w="1460" w:type="dxa"/>
            <w:vMerge/>
            <w:tcBorders>
              <w:top w:val="nil"/>
              <w:left w:val="single" w:sz="8" w:space="0" w:color="auto"/>
              <w:bottom w:val="single" w:sz="8" w:space="0" w:color="000000"/>
              <w:right w:val="single" w:sz="8" w:space="0" w:color="auto"/>
            </w:tcBorders>
            <w:vAlign w:val="center"/>
            <w:hideMark/>
          </w:tcPr>
          <w:p w:rsidR="00A80ABC" w:rsidRPr="00BC6FBD" w:rsidRDefault="00A80ABC" w:rsidP="00BC6FBD">
            <w:pPr>
              <w:autoSpaceDE/>
              <w:autoSpaceDN/>
              <w:adjustRightInd/>
              <w:spacing w:after="0" w:line="240" w:lineRule="auto"/>
              <w:jc w:val="left"/>
              <w:rPr>
                <w:rFonts w:eastAsia="Times New Roman"/>
                <w:b/>
                <w:lang w:eastAsia="fr-FR"/>
              </w:rPr>
            </w:pPr>
          </w:p>
        </w:tc>
        <w:tc>
          <w:tcPr>
            <w:tcW w:w="2946" w:type="dxa"/>
            <w:tcBorders>
              <w:top w:val="nil"/>
              <w:left w:val="single" w:sz="8" w:space="0" w:color="auto"/>
              <w:bottom w:val="single" w:sz="8" w:space="0" w:color="000000"/>
              <w:right w:val="single" w:sz="8" w:space="0" w:color="auto"/>
            </w:tcBorders>
            <w:shd w:val="clear" w:color="auto" w:fill="auto"/>
            <w:vAlign w:val="bottom"/>
            <w:hideMark/>
          </w:tcPr>
          <w:p w:rsidR="00A80ABC" w:rsidRPr="00BC6FBD" w:rsidRDefault="00A80ABC"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Autres praticiens de soins de santé</w:t>
            </w:r>
          </w:p>
        </w:tc>
        <w:tc>
          <w:tcPr>
            <w:tcW w:w="1701" w:type="dxa"/>
            <w:tcBorders>
              <w:top w:val="nil"/>
              <w:left w:val="single" w:sz="8" w:space="0" w:color="auto"/>
              <w:bottom w:val="single" w:sz="8" w:space="0" w:color="000000"/>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2 924,68</w:t>
            </w:r>
          </w:p>
        </w:tc>
        <w:tc>
          <w:tcPr>
            <w:tcW w:w="1701" w:type="dxa"/>
            <w:tcBorders>
              <w:top w:val="nil"/>
              <w:left w:val="single" w:sz="8" w:space="0" w:color="auto"/>
              <w:bottom w:val="single" w:sz="8" w:space="0" w:color="000000"/>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2,41</w:t>
            </w:r>
          </w:p>
        </w:tc>
        <w:tc>
          <w:tcPr>
            <w:tcW w:w="1679" w:type="dxa"/>
            <w:vMerge/>
            <w:tcBorders>
              <w:left w:val="single" w:sz="8" w:space="0" w:color="auto"/>
              <w:bottom w:val="nil"/>
              <w:right w:val="single" w:sz="8" w:space="0" w:color="auto"/>
            </w:tcBorders>
          </w:tcPr>
          <w:p w:rsidR="00A80ABC" w:rsidRPr="00BC6FBD" w:rsidRDefault="00A80ABC" w:rsidP="00BC6FBD">
            <w:pPr>
              <w:autoSpaceDE/>
              <w:autoSpaceDN/>
              <w:adjustRightInd/>
              <w:spacing w:after="0" w:line="240" w:lineRule="auto"/>
              <w:jc w:val="center"/>
              <w:rPr>
                <w:rFonts w:eastAsia="Times New Roman"/>
                <w:bCs w:val="0"/>
                <w:i/>
                <w:iCs/>
                <w:lang w:eastAsia="fr-FR"/>
              </w:rPr>
            </w:pPr>
          </w:p>
        </w:tc>
      </w:tr>
      <w:tr w:rsidR="00A80ABC" w:rsidRPr="00BC6FBD" w:rsidTr="00490FCF">
        <w:trPr>
          <w:trHeight w:val="1181"/>
        </w:trPr>
        <w:tc>
          <w:tcPr>
            <w:tcW w:w="1460" w:type="dxa"/>
            <w:vMerge/>
            <w:tcBorders>
              <w:top w:val="nil"/>
              <w:left w:val="single" w:sz="8" w:space="0" w:color="auto"/>
              <w:bottom w:val="single" w:sz="8" w:space="0" w:color="000000"/>
              <w:right w:val="single" w:sz="8" w:space="0" w:color="auto"/>
            </w:tcBorders>
            <w:vAlign w:val="center"/>
            <w:hideMark/>
          </w:tcPr>
          <w:p w:rsidR="00A80ABC" w:rsidRPr="00BC6FBD" w:rsidRDefault="00A80ABC" w:rsidP="00BC6FBD">
            <w:pPr>
              <w:autoSpaceDE/>
              <w:autoSpaceDN/>
              <w:adjustRightInd/>
              <w:spacing w:after="0" w:line="240" w:lineRule="auto"/>
              <w:jc w:val="left"/>
              <w:rPr>
                <w:rFonts w:eastAsia="Times New Roman"/>
                <w:b/>
                <w:lang w:eastAsia="fr-FR"/>
              </w:rPr>
            </w:pPr>
          </w:p>
        </w:tc>
        <w:tc>
          <w:tcPr>
            <w:tcW w:w="2946" w:type="dxa"/>
            <w:tcBorders>
              <w:top w:val="nil"/>
              <w:left w:val="single" w:sz="8" w:space="0" w:color="auto"/>
              <w:bottom w:val="single" w:sz="8" w:space="0" w:color="000000"/>
              <w:right w:val="single" w:sz="8" w:space="0" w:color="auto"/>
            </w:tcBorders>
            <w:shd w:val="clear" w:color="auto" w:fill="auto"/>
            <w:vAlign w:val="bottom"/>
            <w:hideMark/>
          </w:tcPr>
          <w:p w:rsidR="00A80ABC" w:rsidRPr="00BC6FBD" w:rsidRDefault="00A80ABC"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Centres de soins ambulatoires</w:t>
            </w:r>
          </w:p>
        </w:tc>
        <w:tc>
          <w:tcPr>
            <w:tcW w:w="1701" w:type="dxa"/>
            <w:tcBorders>
              <w:top w:val="nil"/>
              <w:left w:val="single" w:sz="8" w:space="0" w:color="auto"/>
              <w:bottom w:val="single" w:sz="8" w:space="0" w:color="000000"/>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31 599,92</w:t>
            </w:r>
          </w:p>
        </w:tc>
        <w:tc>
          <w:tcPr>
            <w:tcW w:w="1701" w:type="dxa"/>
            <w:tcBorders>
              <w:top w:val="nil"/>
              <w:left w:val="single" w:sz="8" w:space="0" w:color="auto"/>
              <w:bottom w:val="single" w:sz="8" w:space="0" w:color="000000"/>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26,02</w:t>
            </w:r>
          </w:p>
        </w:tc>
        <w:tc>
          <w:tcPr>
            <w:tcW w:w="1679" w:type="dxa"/>
            <w:vMerge/>
            <w:tcBorders>
              <w:left w:val="single" w:sz="8" w:space="0" w:color="auto"/>
              <w:bottom w:val="nil"/>
              <w:right w:val="single" w:sz="8" w:space="0" w:color="auto"/>
            </w:tcBorders>
          </w:tcPr>
          <w:p w:rsidR="00A80ABC" w:rsidRPr="00BC6FBD" w:rsidRDefault="00A80ABC" w:rsidP="00BC6FBD">
            <w:pPr>
              <w:autoSpaceDE/>
              <w:autoSpaceDN/>
              <w:adjustRightInd/>
              <w:spacing w:after="0" w:line="240" w:lineRule="auto"/>
              <w:jc w:val="center"/>
              <w:rPr>
                <w:rFonts w:eastAsia="Times New Roman"/>
                <w:bCs w:val="0"/>
                <w:i/>
                <w:iCs/>
                <w:lang w:eastAsia="fr-FR"/>
              </w:rPr>
            </w:pPr>
          </w:p>
        </w:tc>
      </w:tr>
      <w:tr w:rsidR="00A80ABC" w:rsidRPr="00BC6FBD" w:rsidTr="00490FCF">
        <w:trPr>
          <w:trHeight w:val="2115"/>
        </w:trPr>
        <w:tc>
          <w:tcPr>
            <w:tcW w:w="1460" w:type="dxa"/>
            <w:vMerge/>
            <w:tcBorders>
              <w:top w:val="nil"/>
              <w:left w:val="single" w:sz="8" w:space="0" w:color="auto"/>
              <w:bottom w:val="single" w:sz="8" w:space="0" w:color="000000"/>
              <w:right w:val="single" w:sz="8" w:space="0" w:color="auto"/>
            </w:tcBorders>
            <w:vAlign w:val="center"/>
            <w:hideMark/>
          </w:tcPr>
          <w:p w:rsidR="00A80ABC" w:rsidRPr="00BC6FBD" w:rsidRDefault="00A80ABC" w:rsidP="00BC6FBD">
            <w:pPr>
              <w:autoSpaceDE/>
              <w:autoSpaceDN/>
              <w:adjustRightInd/>
              <w:spacing w:after="0" w:line="240" w:lineRule="auto"/>
              <w:jc w:val="left"/>
              <w:rPr>
                <w:rFonts w:eastAsia="Times New Roman"/>
                <w:b/>
                <w:lang w:eastAsia="fr-FR"/>
              </w:rPr>
            </w:pPr>
          </w:p>
        </w:tc>
        <w:tc>
          <w:tcPr>
            <w:tcW w:w="2946" w:type="dxa"/>
            <w:tcBorders>
              <w:top w:val="nil"/>
              <w:left w:val="nil"/>
              <w:bottom w:val="single" w:sz="8" w:space="0" w:color="auto"/>
              <w:right w:val="single" w:sz="8" w:space="0" w:color="auto"/>
            </w:tcBorders>
            <w:shd w:val="clear" w:color="auto" w:fill="auto"/>
            <w:hideMark/>
          </w:tcPr>
          <w:p w:rsidR="008C7477" w:rsidRDefault="008C7477" w:rsidP="00BC6FBD">
            <w:pPr>
              <w:autoSpaceDE/>
              <w:autoSpaceDN/>
              <w:adjustRightInd/>
              <w:spacing w:after="0" w:line="240" w:lineRule="auto"/>
              <w:jc w:val="left"/>
              <w:rPr>
                <w:rFonts w:eastAsia="Times New Roman"/>
                <w:bCs w:val="0"/>
                <w:i/>
                <w:iCs/>
                <w:lang w:eastAsia="fr-FR"/>
              </w:rPr>
            </w:pPr>
          </w:p>
          <w:p w:rsidR="008C7477" w:rsidRDefault="008C7477" w:rsidP="00BC6FBD">
            <w:pPr>
              <w:autoSpaceDE/>
              <w:autoSpaceDN/>
              <w:adjustRightInd/>
              <w:spacing w:after="0" w:line="240" w:lineRule="auto"/>
              <w:jc w:val="left"/>
              <w:rPr>
                <w:rFonts w:eastAsia="Times New Roman"/>
                <w:bCs w:val="0"/>
                <w:i/>
                <w:iCs/>
                <w:lang w:eastAsia="fr-FR"/>
              </w:rPr>
            </w:pPr>
          </w:p>
          <w:p w:rsidR="008C7477" w:rsidRDefault="008C7477" w:rsidP="00BC6FBD">
            <w:pPr>
              <w:autoSpaceDE/>
              <w:autoSpaceDN/>
              <w:adjustRightInd/>
              <w:spacing w:after="0" w:line="240" w:lineRule="auto"/>
              <w:jc w:val="left"/>
              <w:rPr>
                <w:rFonts w:eastAsia="Times New Roman"/>
                <w:bCs w:val="0"/>
                <w:i/>
                <w:iCs/>
                <w:lang w:eastAsia="fr-FR"/>
              </w:rPr>
            </w:pPr>
          </w:p>
          <w:p w:rsidR="008C7477" w:rsidRDefault="008C7477" w:rsidP="00BC6FBD">
            <w:pPr>
              <w:autoSpaceDE/>
              <w:autoSpaceDN/>
              <w:adjustRightInd/>
              <w:spacing w:after="0" w:line="240" w:lineRule="auto"/>
              <w:jc w:val="left"/>
              <w:rPr>
                <w:rFonts w:eastAsia="Times New Roman"/>
                <w:bCs w:val="0"/>
                <w:i/>
                <w:iCs/>
                <w:lang w:eastAsia="fr-FR"/>
              </w:rPr>
            </w:pPr>
          </w:p>
          <w:p w:rsidR="008C7477" w:rsidRDefault="008C7477" w:rsidP="00BC6FBD">
            <w:pPr>
              <w:autoSpaceDE/>
              <w:autoSpaceDN/>
              <w:adjustRightInd/>
              <w:spacing w:after="0" w:line="240" w:lineRule="auto"/>
              <w:jc w:val="left"/>
              <w:rPr>
                <w:rFonts w:eastAsia="Times New Roman"/>
                <w:bCs w:val="0"/>
                <w:i/>
                <w:iCs/>
                <w:lang w:eastAsia="fr-FR"/>
              </w:rPr>
            </w:pPr>
          </w:p>
          <w:p w:rsidR="00A80ABC" w:rsidRPr="00BC6FBD" w:rsidRDefault="00A80ABC"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Prestataires de soins de santé ambulatoire non spécifiés (n.c.a.)</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right"/>
              <w:rPr>
                <w:rFonts w:eastAsia="Times New Roman"/>
                <w:bCs w:val="0"/>
                <w:i/>
                <w:iCs/>
                <w:lang w:eastAsia="fr-FR"/>
              </w:rPr>
            </w:pPr>
            <w:r w:rsidRPr="00BC6FBD">
              <w:rPr>
                <w:rFonts w:eastAsia="Times New Roman"/>
                <w:bCs w:val="0"/>
                <w:i/>
                <w:iCs/>
                <w:sz w:val="22"/>
                <w:szCs w:val="22"/>
                <w:lang w:eastAsia="fr-FR"/>
              </w:rPr>
              <w:t>1 169,14</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0,96</w:t>
            </w:r>
          </w:p>
        </w:tc>
        <w:tc>
          <w:tcPr>
            <w:tcW w:w="1679" w:type="dxa"/>
            <w:vMerge/>
            <w:tcBorders>
              <w:left w:val="nil"/>
              <w:bottom w:val="single" w:sz="8" w:space="0" w:color="auto"/>
              <w:right w:val="single" w:sz="8" w:space="0" w:color="auto"/>
            </w:tcBorders>
          </w:tcPr>
          <w:p w:rsidR="00A80ABC" w:rsidRPr="00BC6FBD" w:rsidRDefault="00A80ABC" w:rsidP="00BC6FBD">
            <w:pPr>
              <w:autoSpaceDE/>
              <w:autoSpaceDN/>
              <w:adjustRightInd/>
              <w:spacing w:after="0" w:line="240" w:lineRule="auto"/>
              <w:jc w:val="center"/>
              <w:rPr>
                <w:rFonts w:eastAsia="Times New Roman"/>
                <w:bCs w:val="0"/>
                <w:i/>
                <w:iCs/>
                <w:lang w:eastAsia="fr-FR"/>
              </w:rPr>
            </w:pPr>
          </w:p>
        </w:tc>
      </w:tr>
      <w:tr w:rsidR="00A80ABC" w:rsidRPr="00BC6FBD" w:rsidTr="00C63457">
        <w:trPr>
          <w:trHeight w:val="1485"/>
        </w:trPr>
        <w:tc>
          <w:tcPr>
            <w:tcW w:w="1460" w:type="dxa"/>
            <w:vMerge w:val="restart"/>
            <w:tcBorders>
              <w:top w:val="nil"/>
              <w:left w:val="single" w:sz="8" w:space="0" w:color="auto"/>
              <w:bottom w:val="single" w:sz="8" w:space="0" w:color="000000"/>
              <w:right w:val="single" w:sz="8" w:space="0" w:color="auto"/>
            </w:tcBorders>
            <w:shd w:val="clear" w:color="auto" w:fill="auto"/>
            <w:vAlign w:val="bottom"/>
            <w:hideMark/>
          </w:tcPr>
          <w:p w:rsidR="00A80ABC" w:rsidRPr="00BC6FBD" w:rsidRDefault="00A80ABC" w:rsidP="00BC6FBD">
            <w:pPr>
              <w:autoSpaceDE/>
              <w:autoSpaceDN/>
              <w:adjustRightInd/>
              <w:spacing w:after="0" w:line="240" w:lineRule="auto"/>
              <w:jc w:val="left"/>
              <w:rPr>
                <w:rFonts w:eastAsia="Times New Roman"/>
                <w:b/>
                <w:lang w:eastAsia="fr-FR"/>
              </w:rPr>
            </w:pPr>
            <w:r w:rsidRPr="00BC6FBD">
              <w:rPr>
                <w:rFonts w:eastAsia="Times New Roman"/>
                <w:b/>
                <w:sz w:val="22"/>
                <w:szCs w:val="22"/>
                <w:lang w:eastAsia="fr-FR"/>
              </w:rPr>
              <w:t>Prestataires de services auxiliaires</w:t>
            </w:r>
          </w:p>
        </w:tc>
        <w:tc>
          <w:tcPr>
            <w:tcW w:w="2946" w:type="dxa"/>
            <w:vMerge w:val="restart"/>
            <w:tcBorders>
              <w:top w:val="nil"/>
              <w:left w:val="single" w:sz="8" w:space="0" w:color="auto"/>
              <w:bottom w:val="single" w:sz="8" w:space="0" w:color="000000"/>
              <w:right w:val="single" w:sz="8" w:space="0" w:color="auto"/>
            </w:tcBorders>
            <w:shd w:val="clear" w:color="auto" w:fill="auto"/>
            <w:vAlign w:val="bottom"/>
            <w:hideMark/>
          </w:tcPr>
          <w:p w:rsidR="00A80ABC" w:rsidRPr="00BC6FBD" w:rsidRDefault="00A80ABC"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Laboratoires Médicaux et de diagnostique</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504,77</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ascii="Calibri" w:eastAsia="Times New Roman" w:hAnsi="Calibri"/>
                <w:bCs w:val="0"/>
                <w:lang w:eastAsia="fr-FR"/>
              </w:rPr>
            </w:pPr>
            <w:r w:rsidRPr="00BC6FBD">
              <w:rPr>
                <w:rFonts w:ascii="Calibri" w:eastAsia="Times New Roman" w:hAnsi="Calibri"/>
                <w:bCs w:val="0"/>
                <w:sz w:val="22"/>
                <w:szCs w:val="22"/>
                <w:lang w:eastAsia="fr-FR"/>
              </w:rPr>
              <w:t>0,42</w:t>
            </w:r>
          </w:p>
        </w:tc>
        <w:tc>
          <w:tcPr>
            <w:tcW w:w="1679" w:type="dxa"/>
            <w:tcBorders>
              <w:top w:val="nil"/>
              <w:left w:val="single" w:sz="8" w:space="0" w:color="auto"/>
              <w:bottom w:val="single" w:sz="8" w:space="0" w:color="000000"/>
              <w:right w:val="single" w:sz="8" w:space="0" w:color="auto"/>
            </w:tcBorders>
          </w:tcPr>
          <w:p w:rsidR="00A80ABC" w:rsidRDefault="00A80ABC" w:rsidP="00BC6FBD">
            <w:pPr>
              <w:autoSpaceDE/>
              <w:autoSpaceDN/>
              <w:adjustRightInd/>
              <w:spacing w:after="0" w:line="240" w:lineRule="auto"/>
              <w:jc w:val="center"/>
              <w:rPr>
                <w:rFonts w:ascii="Calibri" w:eastAsia="Times New Roman" w:hAnsi="Calibri"/>
                <w:bCs w:val="0"/>
                <w:lang w:eastAsia="fr-FR"/>
              </w:rPr>
            </w:pPr>
          </w:p>
          <w:p w:rsidR="008C7477" w:rsidRDefault="008C7477" w:rsidP="00BC6FBD">
            <w:pPr>
              <w:autoSpaceDE/>
              <w:autoSpaceDN/>
              <w:adjustRightInd/>
              <w:spacing w:after="0" w:line="240" w:lineRule="auto"/>
              <w:jc w:val="center"/>
              <w:rPr>
                <w:rFonts w:ascii="Calibri" w:eastAsia="Times New Roman" w:hAnsi="Calibri"/>
                <w:bCs w:val="0"/>
                <w:lang w:eastAsia="fr-FR"/>
              </w:rPr>
            </w:pPr>
          </w:p>
          <w:p w:rsidR="008C7477" w:rsidRDefault="008C7477" w:rsidP="00BC6FBD">
            <w:pPr>
              <w:autoSpaceDE/>
              <w:autoSpaceDN/>
              <w:adjustRightInd/>
              <w:spacing w:after="0" w:line="240" w:lineRule="auto"/>
              <w:jc w:val="center"/>
              <w:rPr>
                <w:rFonts w:ascii="Calibri" w:eastAsia="Times New Roman" w:hAnsi="Calibri"/>
                <w:bCs w:val="0"/>
                <w:lang w:eastAsia="fr-FR"/>
              </w:rPr>
            </w:pPr>
          </w:p>
          <w:p w:rsidR="008C7477" w:rsidRPr="00BC6FBD" w:rsidRDefault="008C7477" w:rsidP="00BC6FBD">
            <w:pPr>
              <w:autoSpaceDE/>
              <w:autoSpaceDN/>
              <w:adjustRightInd/>
              <w:spacing w:after="0" w:line="240" w:lineRule="auto"/>
              <w:jc w:val="center"/>
              <w:rPr>
                <w:rFonts w:ascii="Calibri" w:eastAsia="Times New Roman" w:hAnsi="Calibri"/>
                <w:bCs w:val="0"/>
                <w:lang w:eastAsia="fr-FR"/>
              </w:rPr>
            </w:pPr>
          </w:p>
        </w:tc>
      </w:tr>
      <w:tr w:rsidR="00A80ABC" w:rsidRPr="00BC6FBD" w:rsidTr="00C63457">
        <w:trPr>
          <w:trHeight w:val="315"/>
        </w:trPr>
        <w:tc>
          <w:tcPr>
            <w:tcW w:w="1460" w:type="dxa"/>
            <w:vMerge/>
            <w:tcBorders>
              <w:top w:val="nil"/>
              <w:left w:val="single" w:sz="8" w:space="0" w:color="auto"/>
              <w:bottom w:val="single" w:sz="8" w:space="0" w:color="000000"/>
              <w:right w:val="single" w:sz="8" w:space="0" w:color="auto"/>
            </w:tcBorders>
            <w:vAlign w:val="center"/>
            <w:hideMark/>
          </w:tcPr>
          <w:p w:rsidR="00A80ABC" w:rsidRPr="00BC6FBD" w:rsidRDefault="00A80ABC" w:rsidP="00BC6FBD">
            <w:pPr>
              <w:autoSpaceDE/>
              <w:autoSpaceDN/>
              <w:adjustRightInd/>
              <w:spacing w:after="0" w:line="240" w:lineRule="auto"/>
              <w:jc w:val="left"/>
              <w:rPr>
                <w:rFonts w:eastAsia="Times New Roman"/>
                <w:b/>
                <w:lang w:eastAsia="fr-FR"/>
              </w:rPr>
            </w:pPr>
          </w:p>
        </w:tc>
        <w:tc>
          <w:tcPr>
            <w:tcW w:w="2946" w:type="dxa"/>
            <w:vMerge/>
            <w:tcBorders>
              <w:top w:val="nil"/>
              <w:left w:val="single" w:sz="8" w:space="0" w:color="auto"/>
              <w:bottom w:val="single" w:sz="8" w:space="0" w:color="000000"/>
              <w:right w:val="single" w:sz="8" w:space="0" w:color="auto"/>
            </w:tcBorders>
            <w:vAlign w:val="center"/>
            <w:hideMark/>
          </w:tcPr>
          <w:p w:rsidR="00A80ABC" w:rsidRPr="00BC6FBD" w:rsidRDefault="00A80ABC" w:rsidP="00BC6FBD">
            <w:pPr>
              <w:autoSpaceDE/>
              <w:autoSpaceDN/>
              <w:adjustRightInd/>
              <w:spacing w:after="0" w:line="240" w:lineRule="auto"/>
              <w:jc w:val="left"/>
              <w:rPr>
                <w:rFonts w:eastAsia="Times New Roman"/>
                <w:bCs w:val="0"/>
                <w:i/>
                <w:iCs/>
                <w:lang w:eastAsia="fr-FR"/>
              </w:rPr>
            </w:pPr>
          </w:p>
        </w:tc>
        <w:tc>
          <w:tcPr>
            <w:tcW w:w="1701" w:type="dxa"/>
            <w:vMerge/>
            <w:tcBorders>
              <w:top w:val="nil"/>
              <w:left w:val="single" w:sz="8" w:space="0" w:color="auto"/>
              <w:bottom w:val="single" w:sz="8" w:space="0" w:color="000000"/>
              <w:right w:val="single" w:sz="8" w:space="0" w:color="auto"/>
            </w:tcBorders>
            <w:vAlign w:val="center"/>
            <w:hideMark/>
          </w:tcPr>
          <w:p w:rsidR="00A80ABC" w:rsidRPr="00BC6FBD" w:rsidRDefault="00A80ABC" w:rsidP="00BC6FBD">
            <w:pPr>
              <w:autoSpaceDE/>
              <w:autoSpaceDN/>
              <w:adjustRightInd/>
              <w:spacing w:after="0" w:line="240" w:lineRule="auto"/>
              <w:jc w:val="left"/>
              <w:rPr>
                <w:rFonts w:eastAsia="Times New Roman"/>
                <w:bCs w:val="0"/>
                <w:i/>
                <w:iCs/>
                <w:lang w:eastAsia="fr-FR"/>
              </w:rPr>
            </w:pPr>
          </w:p>
        </w:tc>
        <w:tc>
          <w:tcPr>
            <w:tcW w:w="1701" w:type="dxa"/>
            <w:vMerge/>
            <w:tcBorders>
              <w:top w:val="nil"/>
              <w:left w:val="single" w:sz="8" w:space="0" w:color="auto"/>
              <w:bottom w:val="single" w:sz="8" w:space="0" w:color="000000"/>
              <w:right w:val="single" w:sz="8" w:space="0" w:color="auto"/>
            </w:tcBorders>
            <w:vAlign w:val="center"/>
            <w:hideMark/>
          </w:tcPr>
          <w:p w:rsidR="00A80ABC" w:rsidRPr="00BC6FBD" w:rsidRDefault="00A80ABC" w:rsidP="00BC6FBD">
            <w:pPr>
              <w:autoSpaceDE/>
              <w:autoSpaceDN/>
              <w:adjustRightInd/>
              <w:spacing w:after="0" w:line="240" w:lineRule="auto"/>
              <w:jc w:val="left"/>
              <w:rPr>
                <w:rFonts w:ascii="Calibri" w:eastAsia="Times New Roman" w:hAnsi="Calibri"/>
                <w:bCs w:val="0"/>
                <w:lang w:eastAsia="fr-FR"/>
              </w:rPr>
            </w:pPr>
          </w:p>
        </w:tc>
        <w:tc>
          <w:tcPr>
            <w:tcW w:w="1679" w:type="dxa"/>
            <w:tcBorders>
              <w:top w:val="nil"/>
              <w:left w:val="single" w:sz="8" w:space="0" w:color="auto"/>
              <w:bottom w:val="single" w:sz="8" w:space="0" w:color="000000"/>
              <w:right w:val="single" w:sz="8" w:space="0" w:color="auto"/>
            </w:tcBorders>
          </w:tcPr>
          <w:p w:rsidR="00A80ABC" w:rsidRPr="00BC6FBD" w:rsidRDefault="00A80ABC" w:rsidP="00BC6FBD">
            <w:pPr>
              <w:autoSpaceDE/>
              <w:autoSpaceDN/>
              <w:adjustRightInd/>
              <w:spacing w:after="0" w:line="240" w:lineRule="auto"/>
              <w:jc w:val="left"/>
              <w:rPr>
                <w:rFonts w:ascii="Calibri" w:eastAsia="Times New Roman" w:hAnsi="Calibri"/>
                <w:bCs w:val="0"/>
                <w:lang w:eastAsia="fr-FR"/>
              </w:rPr>
            </w:pPr>
          </w:p>
        </w:tc>
      </w:tr>
      <w:tr w:rsidR="00A80ABC" w:rsidRPr="00BC6FBD" w:rsidTr="00C63457">
        <w:trPr>
          <w:trHeight w:val="2116"/>
        </w:trPr>
        <w:tc>
          <w:tcPr>
            <w:tcW w:w="1460" w:type="dxa"/>
            <w:vMerge w:val="restart"/>
            <w:tcBorders>
              <w:top w:val="nil"/>
              <w:left w:val="single" w:sz="8" w:space="0" w:color="auto"/>
              <w:bottom w:val="single" w:sz="8" w:space="0" w:color="000000"/>
              <w:right w:val="single" w:sz="8" w:space="0" w:color="auto"/>
            </w:tcBorders>
            <w:shd w:val="clear" w:color="auto" w:fill="auto"/>
            <w:vAlign w:val="bottom"/>
            <w:hideMark/>
          </w:tcPr>
          <w:p w:rsidR="00A80ABC" w:rsidRPr="00BC6FBD" w:rsidRDefault="00A80ABC" w:rsidP="00BC6FBD">
            <w:pPr>
              <w:autoSpaceDE/>
              <w:autoSpaceDN/>
              <w:adjustRightInd/>
              <w:spacing w:after="0" w:line="240" w:lineRule="auto"/>
              <w:jc w:val="left"/>
              <w:rPr>
                <w:rFonts w:eastAsia="Times New Roman"/>
                <w:b/>
                <w:lang w:eastAsia="fr-FR"/>
              </w:rPr>
            </w:pPr>
            <w:r w:rsidRPr="00BC6FBD">
              <w:rPr>
                <w:rFonts w:eastAsia="Times New Roman"/>
                <w:b/>
                <w:sz w:val="22"/>
                <w:szCs w:val="22"/>
                <w:lang w:eastAsia="fr-FR"/>
              </w:rPr>
              <w:t>Détaillants et autres prestataires de biens médicaux</w:t>
            </w:r>
          </w:p>
        </w:tc>
        <w:tc>
          <w:tcPr>
            <w:tcW w:w="2946" w:type="dxa"/>
            <w:tcBorders>
              <w:top w:val="nil"/>
              <w:left w:val="nil"/>
              <w:bottom w:val="single" w:sz="8" w:space="0" w:color="auto"/>
              <w:right w:val="single" w:sz="8" w:space="0" w:color="auto"/>
            </w:tcBorders>
            <w:shd w:val="clear" w:color="auto" w:fill="auto"/>
            <w:hideMark/>
          </w:tcPr>
          <w:p w:rsidR="00C63457" w:rsidRDefault="00C63457" w:rsidP="00BC6FBD">
            <w:pPr>
              <w:autoSpaceDE/>
              <w:autoSpaceDN/>
              <w:adjustRightInd/>
              <w:spacing w:after="0" w:line="240" w:lineRule="auto"/>
              <w:jc w:val="left"/>
              <w:rPr>
                <w:rFonts w:eastAsia="Times New Roman"/>
                <w:bCs w:val="0"/>
                <w:i/>
                <w:iCs/>
                <w:lang w:eastAsia="fr-FR"/>
              </w:rPr>
            </w:pPr>
          </w:p>
          <w:p w:rsidR="00C63457" w:rsidRDefault="00C63457" w:rsidP="00BC6FBD">
            <w:pPr>
              <w:autoSpaceDE/>
              <w:autoSpaceDN/>
              <w:adjustRightInd/>
              <w:spacing w:after="0" w:line="240" w:lineRule="auto"/>
              <w:jc w:val="left"/>
              <w:rPr>
                <w:rFonts w:eastAsia="Times New Roman"/>
                <w:bCs w:val="0"/>
                <w:i/>
                <w:iCs/>
                <w:lang w:eastAsia="fr-FR"/>
              </w:rPr>
            </w:pPr>
          </w:p>
          <w:p w:rsidR="00C63457" w:rsidRDefault="00C63457" w:rsidP="00BC6FBD">
            <w:pPr>
              <w:autoSpaceDE/>
              <w:autoSpaceDN/>
              <w:adjustRightInd/>
              <w:spacing w:after="0" w:line="240" w:lineRule="auto"/>
              <w:jc w:val="left"/>
              <w:rPr>
                <w:rFonts w:eastAsia="Times New Roman"/>
                <w:bCs w:val="0"/>
                <w:i/>
                <w:iCs/>
                <w:lang w:eastAsia="fr-FR"/>
              </w:rPr>
            </w:pPr>
          </w:p>
          <w:p w:rsidR="00C63457" w:rsidRDefault="00C63457" w:rsidP="00BC6FBD">
            <w:pPr>
              <w:autoSpaceDE/>
              <w:autoSpaceDN/>
              <w:adjustRightInd/>
              <w:spacing w:after="0" w:line="240" w:lineRule="auto"/>
              <w:jc w:val="left"/>
              <w:rPr>
                <w:rFonts w:eastAsia="Times New Roman"/>
                <w:bCs w:val="0"/>
                <w:i/>
                <w:iCs/>
                <w:lang w:eastAsia="fr-FR"/>
              </w:rPr>
            </w:pPr>
          </w:p>
          <w:p w:rsidR="00C63457" w:rsidRDefault="00C63457" w:rsidP="00BC6FBD">
            <w:pPr>
              <w:autoSpaceDE/>
              <w:autoSpaceDN/>
              <w:adjustRightInd/>
              <w:spacing w:after="0" w:line="240" w:lineRule="auto"/>
              <w:jc w:val="left"/>
              <w:rPr>
                <w:rFonts w:eastAsia="Times New Roman"/>
                <w:bCs w:val="0"/>
                <w:i/>
                <w:iCs/>
                <w:lang w:eastAsia="fr-FR"/>
              </w:rPr>
            </w:pPr>
          </w:p>
          <w:p w:rsidR="008C7477" w:rsidRDefault="008C7477" w:rsidP="00BC6FBD">
            <w:pPr>
              <w:autoSpaceDE/>
              <w:autoSpaceDN/>
              <w:adjustRightInd/>
              <w:spacing w:after="0" w:line="240" w:lineRule="auto"/>
              <w:jc w:val="left"/>
              <w:rPr>
                <w:rFonts w:eastAsia="Times New Roman"/>
                <w:bCs w:val="0"/>
                <w:i/>
                <w:iCs/>
                <w:lang w:eastAsia="fr-FR"/>
              </w:rPr>
            </w:pPr>
          </w:p>
          <w:p w:rsidR="008C7477" w:rsidRDefault="008C7477" w:rsidP="00BC6FBD">
            <w:pPr>
              <w:autoSpaceDE/>
              <w:autoSpaceDN/>
              <w:adjustRightInd/>
              <w:spacing w:after="0" w:line="240" w:lineRule="auto"/>
              <w:jc w:val="left"/>
              <w:rPr>
                <w:rFonts w:eastAsia="Times New Roman"/>
                <w:bCs w:val="0"/>
                <w:i/>
                <w:iCs/>
                <w:lang w:eastAsia="fr-FR"/>
              </w:rPr>
            </w:pPr>
          </w:p>
          <w:p w:rsidR="008C7477" w:rsidRDefault="008C7477" w:rsidP="00BC6FBD">
            <w:pPr>
              <w:autoSpaceDE/>
              <w:autoSpaceDN/>
              <w:adjustRightInd/>
              <w:spacing w:after="0" w:line="240" w:lineRule="auto"/>
              <w:jc w:val="left"/>
              <w:rPr>
                <w:rFonts w:eastAsia="Times New Roman"/>
                <w:bCs w:val="0"/>
                <w:i/>
                <w:iCs/>
                <w:lang w:eastAsia="fr-FR"/>
              </w:rPr>
            </w:pPr>
          </w:p>
          <w:p w:rsidR="00A80ABC" w:rsidRPr="00BC6FBD" w:rsidRDefault="00A80ABC"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Pharmacies</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9 760,63</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8,04</w:t>
            </w:r>
          </w:p>
        </w:tc>
        <w:tc>
          <w:tcPr>
            <w:tcW w:w="1679" w:type="dxa"/>
            <w:tcBorders>
              <w:top w:val="nil"/>
              <w:left w:val="nil"/>
              <w:bottom w:val="single" w:sz="8" w:space="0" w:color="auto"/>
              <w:right w:val="single" w:sz="8" w:space="0" w:color="auto"/>
            </w:tcBorders>
          </w:tcPr>
          <w:p w:rsidR="00A80ABC" w:rsidRDefault="00A80ABC" w:rsidP="00BC6FBD">
            <w:pPr>
              <w:autoSpaceDE/>
              <w:autoSpaceDN/>
              <w:adjustRightInd/>
              <w:spacing w:after="0" w:line="240" w:lineRule="auto"/>
              <w:jc w:val="center"/>
              <w:rPr>
                <w:rFonts w:eastAsia="Times New Roman"/>
                <w:bCs w:val="0"/>
                <w:i/>
                <w:iCs/>
                <w:lang w:eastAsia="fr-FR"/>
              </w:rPr>
            </w:pPr>
          </w:p>
          <w:p w:rsidR="003B5598" w:rsidRDefault="003B5598" w:rsidP="00BC6FBD">
            <w:pPr>
              <w:autoSpaceDE/>
              <w:autoSpaceDN/>
              <w:adjustRightInd/>
              <w:spacing w:after="0" w:line="240" w:lineRule="auto"/>
              <w:jc w:val="center"/>
              <w:rPr>
                <w:rFonts w:eastAsia="Times New Roman"/>
                <w:bCs w:val="0"/>
                <w:i/>
                <w:iCs/>
                <w:lang w:eastAsia="fr-FR"/>
              </w:rPr>
            </w:pPr>
          </w:p>
          <w:p w:rsidR="003B5598" w:rsidRDefault="003B5598" w:rsidP="00BC6FBD">
            <w:pPr>
              <w:autoSpaceDE/>
              <w:autoSpaceDN/>
              <w:adjustRightInd/>
              <w:spacing w:after="0" w:line="240" w:lineRule="auto"/>
              <w:jc w:val="center"/>
              <w:rPr>
                <w:rFonts w:eastAsia="Times New Roman"/>
                <w:bCs w:val="0"/>
                <w:i/>
                <w:iCs/>
                <w:lang w:eastAsia="fr-FR"/>
              </w:rPr>
            </w:pPr>
          </w:p>
          <w:p w:rsidR="003B5598" w:rsidRDefault="003B5598" w:rsidP="00BC6FBD">
            <w:pPr>
              <w:autoSpaceDE/>
              <w:autoSpaceDN/>
              <w:adjustRightInd/>
              <w:spacing w:after="0" w:line="240" w:lineRule="auto"/>
              <w:jc w:val="center"/>
              <w:rPr>
                <w:rFonts w:eastAsia="Times New Roman"/>
                <w:bCs w:val="0"/>
                <w:i/>
                <w:iCs/>
                <w:lang w:eastAsia="fr-FR"/>
              </w:rPr>
            </w:pPr>
          </w:p>
          <w:p w:rsidR="003B5598" w:rsidRDefault="003B5598" w:rsidP="00BC6FBD">
            <w:pPr>
              <w:autoSpaceDE/>
              <w:autoSpaceDN/>
              <w:adjustRightInd/>
              <w:spacing w:after="0" w:line="240" w:lineRule="auto"/>
              <w:jc w:val="center"/>
              <w:rPr>
                <w:rFonts w:eastAsia="Times New Roman"/>
                <w:bCs w:val="0"/>
                <w:i/>
                <w:iCs/>
                <w:lang w:eastAsia="fr-FR"/>
              </w:rPr>
            </w:pPr>
          </w:p>
          <w:p w:rsidR="003B5598" w:rsidRDefault="003B5598" w:rsidP="00BC6FBD">
            <w:pPr>
              <w:autoSpaceDE/>
              <w:autoSpaceDN/>
              <w:adjustRightInd/>
              <w:spacing w:after="0" w:line="240" w:lineRule="auto"/>
              <w:jc w:val="center"/>
              <w:rPr>
                <w:rFonts w:eastAsia="Times New Roman"/>
                <w:bCs w:val="0"/>
                <w:i/>
                <w:iCs/>
                <w:lang w:eastAsia="fr-FR"/>
              </w:rPr>
            </w:pPr>
          </w:p>
          <w:p w:rsidR="003B5598" w:rsidRDefault="003B5598" w:rsidP="00BC6FBD">
            <w:pPr>
              <w:autoSpaceDE/>
              <w:autoSpaceDN/>
              <w:adjustRightInd/>
              <w:spacing w:after="0" w:line="240" w:lineRule="auto"/>
              <w:jc w:val="center"/>
              <w:rPr>
                <w:rFonts w:eastAsia="Times New Roman"/>
                <w:bCs w:val="0"/>
                <w:i/>
                <w:iCs/>
                <w:lang w:eastAsia="fr-FR"/>
              </w:rPr>
            </w:pPr>
          </w:p>
          <w:p w:rsidR="003B5598" w:rsidRDefault="003B5598" w:rsidP="00BC6FBD">
            <w:pPr>
              <w:autoSpaceDE/>
              <w:autoSpaceDN/>
              <w:adjustRightInd/>
              <w:spacing w:after="0" w:line="240" w:lineRule="auto"/>
              <w:jc w:val="center"/>
              <w:rPr>
                <w:rFonts w:eastAsia="Times New Roman"/>
                <w:bCs w:val="0"/>
                <w:i/>
                <w:iCs/>
                <w:lang w:eastAsia="fr-FR"/>
              </w:rPr>
            </w:pPr>
          </w:p>
          <w:p w:rsidR="003B5598" w:rsidRPr="00BC6FBD" w:rsidRDefault="006D45AD" w:rsidP="00C63457">
            <w:pPr>
              <w:spacing w:after="0" w:line="240" w:lineRule="auto"/>
              <w:jc w:val="center"/>
              <w:rPr>
                <w:rFonts w:eastAsia="Times New Roman"/>
                <w:bCs w:val="0"/>
                <w:i/>
                <w:iCs/>
                <w:lang w:eastAsia="fr-FR"/>
              </w:rPr>
            </w:pPr>
            <w:r>
              <w:rPr>
                <w:rFonts w:eastAsia="Times New Roman"/>
                <w:bCs w:val="0"/>
                <w:i/>
                <w:iCs/>
                <w:lang w:eastAsia="fr-FR"/>
              </w:rPr>
              <w:t>9,32</w:t>
            </w:r>
          </w:p>
        </w:tc>
      </w:tr>
      <w:tr w:rsidR="00A80ABC" w:rsidRPr="00BC6FBD" w:rsidTr="00C63457">
        <w:trPr>
          <w:trHeight w:val="3615"/>
        </w:trPr>
        <w:tc>
          <w:tcPr>
            <w:tcW w:w="1460" w:type="dxa"/>
            <w:vMerge/>
            <w:tcBorders>
              <w:top w:val="nil"/>
              <w:left w:val="single" w:sz="8" w:space="0" w:color="auto"/>
              <w:bottom w:val="single" w:sz="8" w:space="0" w:color="000000"/>
              <w:right w:val="single" w:sz="8" w:space="0" w:color="auto"/>
            </w:tcBorders>
            <w:vAlign w:val="center"/>
            <w:hideMark/>
          </w:tcPr>
          <w:p w:rsidR="00A80ABC" w:rsidRPr="00BC6FBD" w:rsidRDefault="00A80ABC" w:rsidP="00BC6FBD">
            <w:pPr>
              <w:autoSpaceDE/>
              <w:autoSpaceDN/>
              <w:adjustRightInd/>
              <w:spacing w:after="0" w:line="240" w:lineRule="auto"/>
              <w:jc w:val="left"/>
              <w:rPr>
                <w:rFonts w:eastAsia="Times New Roman"/>
                <w:b/>
                <w:lang w:eastAsia="fr-FR"/>
              </w:rPr>
            </w:pPr>
          </w:p>
        </w:tc>
        <w:tc>
          <w:tcPr>
            <w:tcW w:w="2946" w:type="dxa"/>
            <w:tcBorders>
              <w:top w:val="nil"/>
              <w:left w:val="nil"/>
              <w:bottom w:val="single" w:sz="8" w:space="0" w:color="auto"/>
              <w:right w:val="single" w:sz="8" w:space="0" w:color="auto"/>
            </w:tcBorders>
            <w:shd w:val="clear" w:color="auto" w:fill="auto"/>
            <w:hideMark/>
          </w:tcPr>
          <w:p w:rsidR="00A80ABC" w:rsidRPr="00BC6FBD" w:rsidRDefault="00A80ABC"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Tous autres détaillants divers et autres fournisseurs de produits pharmaceutiques et biens médicaux</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1 557,25</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1,28</w:t>
            </w:r>
          </w:p>
        </w:tc>
        <w:tc>
          <w:tcPr>
            <w:tcW w:w="1679" w:type="dxa"/>
            <w:tcBorders>
              <w:top w:val="nil"/>
              <w:left w:val="nil"/>
              <w:bottom w:val="single" w:sz="8" w:space="0" w:color="auto"/>
              <w:right w:val="single" w:sz="8" w:space="0" w:color="auto"/>
            </w:tcBorders>
          </w:tcPr>
          <w:p w:rsidR="00A80ABC" w:rsidRPr="00BC6FBD" w:rsidRDefault="00A80ABC" w:rsidP="00BC6FBD">
            <w:pPr>
              <w:autoSpaceDE/>
              <w:autoSpaceDN/>
              <w:adjustRightInd/>
              <w:spacing w:after="0" w:line="240" w:lineRule="auto"/>
              <w:jc w:val="center"/>
              <w:rPr>
                <w:rFonts w:eastAsia="Times New Roman"/>
                <w:bCs w:val="0"/>
                <w:i/>
                <w:iCs/>
                <w:lang w:eastAsia="fr-FR"/>
              </w:rPr>
            </w:pPr>
          </w:p>
        </w:tc>
      </w:tr>
      <w:tr w:rsidR="00A80ABC" w:rsidRPr="00BC6FBD" w:rsidTr="00C63457">
        <w:trPr>
          <w:trHeight w:val="915"/>
        </w:trPr>
        <w:tc>
          <w:tcPr>
            <w:tcW w:w="1460" w:type="dxa"/>
            <w:tcBorders>
              <w:top w:val="nil"/>
              <w:left w:val="single" w:sz="8" w:space="0" w:color="auto"/>
              <w:bottom w:val="single" w:sz="8" w:space="0" w:color="auto"/>
              <w:right w:val="single" w:sz="8" w:space="0" w:color="auto"/>
            </w:tcBorders>
            <w:shd w:val="clear" w:color="auto" w:fill="auto"/>
            <w:hideMark/>
          </w:tcPr>
          <w:p w:rsidR="00A80ABC" w:rsidRPr="00BC6FBD" w:rsidRDefault="00A80ABC" w:rsidP="00BC6FBD">
            <w:pPr>
              <w:autoSpaceDE/>
              <w:autoSpaceDN/>
              <w:adjustRightInd/>
              <w:spacing w:after="0" w:line="240" w:lineRule="auto"/>
              <w:jc w:val="left"/>
              <w:rPr>
                <w:rFonts w:eastAsia="Times New Roman"/>
                <w:b/>
                <w:lang w:eastAsia="fr-FR"/>
              </w:rPr>
            </w:pPr>
            <w:r w:rsidRPr="00BC6FBD">
              <w:rPr>
                <w:rFonts w:eastAsia="Times New Roman"/>
                <w:b/>
                <w:sz w:val="22"/>
                <w:szCs w:val="22"/>
                <w:lang w:eastAsia="fr-FR"/>
              </w:rPr>
              <w:t>Prestataires de soins préventifs</w:t>
            </w:r>
          </w:p>
        </w:tc>
        <w:tc>
          <w:tcPr>
            <w:tcW w:w="2946" w:type="dxa"/>
            <w:tcBorders>
              <w:top w:val="nil"/>
              <w:left w:val="nil"/>
              <w:bottom w:val="single" w:sz="8" w:space="0" w:color="auto"/>
              <w:right w:val="single" w:sz="8" w:space="0" w:color="auto"/>
            </w:tcBorders>
            <w:shd w:val="clear" w:color="auto" w:fill="auto"/>
            <w:hideMark/>
          </w:tcPr>
          <w:p w:rsidR="00A80ABC" w:rsidRPr="00BC6FBD" w:rsidRDefault="00A80ABC" w:rsidP="00BC6FBD">
            <w:pPr>
              <w:autoSpaceDE/>
              <w:autoSpaceDN/>
              <w:adjustRightInd/>
              <w:spacing w:after="0" w:line="240" w:lineRule="auto"/>
              <w:jc w:val="left"/>
              <w:rPr>
                <w:rFonts w:eastAsia="Times New Roman"/>
                <w:bCs w:val="0"/>
                <w:lang w:eastAsia="fr-FR"/>
              </w:rPr>
            </w:pPr>
            <w:r w:rsidRPr="00BC6FBD">
              <w:rPr>
                <w:rFonts w:eastAsia="Times New Roman"/>
                <w:bCs w:val="0"/>
                <w:sz w:val="22"/>
                <w:szCs w:val="22"/>
                <w:lang w:eastAsia="fr-FR"/>
              </w:rPr>
              <w:t>Prestataires de soins préventifs</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lang w:eastAsia="fr-FR"/>
              </w:rPr>
            </w:pPr>
            <w:r w:rsidRPr="00BC6FBD">
              <w:rPr>
                <w:rFonts w:eastAsia="Times New Roman"/>
                <w:bCs w:val="0"/>
                <w:sz w:val="22"/>
                <w:szCs w:val="22"/>
                <w:lang w:eastAsia="fr-FR"/>
              </w:rPr>
              <w:t>7 233,77</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lang w:eastAsia="fr-FR"/>
              </w:rPr>
            </w:pPr>
            <w:r w:rsidRPr="00BC6FBD">
              <w:rPr>
                <w:rFonts w:eastAsia="Times New Roman"/>
                <w:bCs w:val="0"/>
                <w:sz w:val="22"/>
                <w:szCs w:val="22"/>
                <w:lang w:eastAsia="fr-FR"/>
              </w:rPr>
              <w:t>5,96</w:t>
            </w:r>
          </w:p>
        </w:tc>
        <w:tc>
          <w:tcPr>
            <w:tcW w:w="1679" w:type="dxa"/>
            <w:tcBorders>
              <w:top w:val="nil"/>
              <w:left w:val="nil"/>
              <w:bottom w:val="single" w:sz="8" w:space="0" w:color="auto"/>
              <w:right w:val="single" w:sz="8" w:space="0" w:color="auto"/>
            </w:tcBorders>
          </w:tcPr>
          <w:p w:rsidR="00A80ABC" w:rsidRPr="00BC6FBD" w:rsidRDefault="00A80ABC" w:rsidP="00BC6FBD">
            <w:pPr>
              <w:autoSpaceDE/>
              <w:autoSpaceDN/>
              <w:adjustRightInd/>
              <w:spacing w:after="0" w:line="240" w:lineRule="auto"/>
              <w:jc w:val="center"/>
              <w:rPr>
                <w:rFonts w:eastAsia="Times New Roman"/>
                <w:bCs w:val="0"/>
                <w:lang w:eastAsia="fr-FR"/>
              </w:rPr>
            </w:pPr>
          </w:p>
        </w:tc>
      </w:tr>
      <w:tr w:rsidR="006D45AD" w:rsidRPr="00BC6FBD" w:rsidTr="00490FCF">
        <w:trPr>
          <w:trHeight w:val="1815"/>
        </w:trPr>
        <w:tc>
          <w:tcPr>
            <w:tcW w:w="1460" w:type="dxa"/>
            <w:vMerge w:val="restart"/>
            <w:tcBorders>
              <w:top w:val="nil"/>
              <w:left w:val="single" w:sz="8" w:space="0" w:color="auto"/>
              <w:bottom w:val="single" w:sz="8" w:space="0" w:color="000000"/>
              <w:right w:val="single" w:sz="8" w:space="0" w:color="auto"/>
            </w:tcBorders>
            <w:shd w:val="clear" w:color="auto" w:fill="auto"/>
            <w:vAlign w:val="bottom"/>
            <w:hideMark/>
          </w:tcPr>
          <w:p w:rsidR="006D45AD" w:rsidRPr="00BC6FBD" w:rsidRDefault="006D45AD" w:rsidP="00BC6FBD">
            <w:pPr>
              <w:autoSpaceDE/>
              <w:autoSpaceDN/>
              <w:adjustRightInd/>
              <w:spacing w:after="0" w:line="240" w:lineRule="auto"/>
              <w:jc w:val="left"/>
              <w:rPr>
                <w:rFonts w:eastAsia="Times New Roman"/>
                <w:b/>
                <w:lang w:eastAsia="fr-FR"/>
              </w:rPr>
            </w:pPr>
            <w:r w:rsidRPr="00BC6FBD">
              <w:rPr>
                <w:rFonts w:eastAsia="Times New Roman"/>
                <w:b/>
                <w:sz w:val="22"/>
                <w:szCs w:val="22"/>
                <w:lang w:eastAsia="fr-FR"/>
              </w:rPr>
              <w:t>Prestataires de services administratifs et de financement du système de soins de santé</w:t>
            </w:r>
          </w:p>
        </w:tc>
        <w:tc>
          <w:tcPr>
            <w:tcW w:w="2946" w:type="dxa"/>
            <w:tcBorders>
              <w:top w:val="nil"/>
              <w:left w:val="nil"/>
              <w:bottom w:val="single" w:sz="8" w:space="0" w:color="auto"/>
              <w:right w:val="single" w:sz="8" w:space="0" w:color="auto"/>
            </w:tcBorders>
            <w:shd w:val="clear" w:color="auto" w:fill="auto"/>
            <w:hideMark/>
          </w:tcPr>
          <w:p w:rsidR="006D45AD" w:rsidRPr="00BC6FBD" w:rsidRDefault="006D45AD"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Agences étatiques de l'administration de la santé</w:t>
            </w:r>
          </w:p>
        </w:tc>
        <w:tc>
          <w:tcPr>
            <w:tcW w:w="1701" w:type="dxa"/>
            <w:tcBorders>
              <w:top w:val="nil"/>
              <w:left w:val="nil"/>
              <w:bottom w:val="single" w:sz="8" w:space="0" w:color="auto"/>
              <w:right w:val="single" w:sz="8" w:space="0" w:color="auto"/>
            </w:tcBorders>
            <w:shd w:val="clear" w:color="auto" w:fill="auto"/>
            <w:noWrap/>
            <w:vAlign w:val="bottom"/>
            <w:hideMark/>
          </w:tcPr>
          <w:p w:rsidR="006D45AD" w:rsidRPr="00BC6FBD" w:rsidRDefault="006D45AD"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6 719,41</w:t>
            </w:r>
          </w:p>
        </w:tc>
        <w:tc>
          <w:tcPr>
            <w:tcW w:w="1701" w:type="dxa"/>
            <w:tcBorders>
              <w:top w:val="nil"/>
              <w:left w:val="nil"/>
              <w:bottom w:val="single" w:sz="8" w:space="0" w:color="auto"/>
              <w:right w:val="single" w:sz="8" w:space="0" w:color="auto"/>
            </w:tcBorders>
            <w:shd w:val="clear" w:color="auto" w:fill="auto"/>
            <w:noWrap/>
            <w:vAlign w:val="bottom"/>
            <w:hideMark/>
          </w:tcPr>
          <w:p w:rsidR="006D45AD" w:rsidRPr="00BC6FBD" w:rsidRDefault="006D45AD"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5,53</w:t>
            </w:r>
          </w:p>
        </w:tc>
        <w:tc>
          <w:tcPr>
            <w:tcW w:w="1679" w:type="dxa"/>
            <w:vMerge w:val="restart"/>
            <w:tcBorders>
              <w:top w:val="nil"/>
              <w:left w:val="nil"/>
              <w:right w:val="single" w:sz="8" w:space="0" w:color="auto"/>
            </w:tcBorders>
          </w:tcPr>
          <w:p w:rsidR="006D45AD" w:rsidRDefault="006D45AD" w:rsidP="00BC6FBD">
            <w:pPr>
              <w:autoSpaceDE/>
              <w:autoSpaceDN/>
              <w:adjustRightInd/>
              <w:spacing w:after="0" w:line="240" w:lineRule="auto"/>
              <w:jc w:val="center"/>
              <w:rPr>
                <w:rFonts w:eastAsia="Times New Roman"/>
                <w:bCs w:val="0"/>
                <w:i/>
                <w:iCs/>
                <w:lang w:eastAsia="fr-FR"/>
              </w:rPr>
            </w:pPr>
          </w:p>
          <w:p w:rsidR="006D45AD" w:rsidRDefault="006D45AD" w:rsidP="00BC6FBD">
            <w:pPr>
              <w:autoSpaceDE/>
              <w:autoSpaceDN/>
              <w:adjustRightInd/>
              <w:spacing w:after="0" w:line="240" w:lineRule="auto"/>
              <w:jc w:val="center"/>
              <w:rPr>
                <w:rFonts w:eastAsia="Times New Roman"/>
                <w:bCs w:val="0"/>
                <w:i/>
                <w:iCs/>
                <w:lang w:eastAsia="fr-FR"/>
              </w:rPr>
            </w:pPr>
          </w:p>
          <w:p w:rsidR="006D45AD" w:rsidRDefault="006D45AD" w:rsidP="00BC6FBD">
            <w:pPr>
              <w:autoSpaceDE/>
              <w:autoSpaceDN/>
              <w:adjustRightInd/>
              <w:spacing w:after="0" w:line="240" w:lineRule="auto"/>
              <w:jc w:val="center"/>
              <w:rPr>
                <w:rFonts w:eastAsia="Times New Roman"/>
                <w:bCs w:val="0"/>
                <w:i/>
                <w:iCs/>
                <w:lang w:eastAsia="fr-FR"/>
              </w:rPr>
            </w:pPr>
          </w:p>
          <w:p w:rsidR="006D45AD" w:rsidRDefault="006D45AD" w:rsidP="00BC6FBD">
            <w:pPr>
              <w:autoSpaceDE/>
              <w:autoSpaceDN/>
              <w:adjustRightInd/>
              <w:spacing w:after="0" w:line="240" w:lineRule="auto"/>
              <w:jc w:val="center"/>
              <w:rPr>
                <w:rFonts w:eastAsia="Times New Roman"/>
                <w:bCs w:val="0"/>
                <w:i/>
                <w:iCs/>
                <w:lang w:eastAsia="fr-FR"/>
              </w:rPr>
            </w:pPr>
          </w:p>
          <w:p w:rsidR="006D45AD" w:rsidRDefault="006D45AD" w:rsidP="00BC6FBD">
            <w:pPr>
              <w:autoSpaceDE/>
              <w:autoSpaceDN/>
              <w:adjustRightInd/>
              <w:spacing w:after="0" w:line="240" w:lineRule="auto"/>
              <w:jc w:val="center"/>
              <w:rPr>
                <w:rFonts w:eastAsia="Times New Roman"/>
                <w:bCs w:val="0"/>
                <w:i/>
                <w:iCs/>
                <w:lang w:eastAsia="fr-FR"/>
              </w:rPr>
            </w:pPr>
          </w:p>
          <w:p w:rsidR="006D45AD" w:rsidRDefault="006D45AD" w:rsidP="00BC6FBD">
            <w:pPr>
              <w:autoSpaceDE/>
              <w:autoSpaceDN/>
              <w:adjustRightInd/>
              <w:spacing w:after="0" w:line="240" w:lineRule="auto"/>
              <w:jc w:val="center"/>
              <w:rPr>
                <w:rFonts w:eastAsia="Times New Roman"/>
                <w:bCs w:val="0"/>
                <w:i/>
                <w:iCs/>
                <w:lang w:eastAsia="fr-FR"/>
              </w:rPr>
            </w:pPr>
          </w:p>
          <w:p w:rsidR="006D45AD" w:rsidRDefault="006D45AD" w:rsidP="00BC6FBD">
            <w:pPr>
              <w:autoSpaceDE/>
              <w:autoSpaceDN/>
              <w:adjustRightInd/>
              <w:spacing w:after="0" w:line="240" w:lineRule="auto"/>
              <w:jc w:val="center"/>
              <w:rPr>
                <w:rFonts w:eastAsia="Times New Roman"/>
                <w:bCs w:val="0"/>
                <w:i/>
                <w:iCs/>
                <w:lang w:eastAsia="fr-FR"/>
              </w:rPr>
            </w:pPr>
          </w:p>
          <w:p w:rsidR="006D45AD" w:rsidRDefault="006D45AD" w:rsidP="00BC6FBD">
            <w:pPr>
              <w:autoSpaceDE/>
              <w:autoSpaceDN/>
              <w:adjustRightInd/>
              <w:spacing w:after="0" w:line="240" w:lineRule="auto"/>
              <w:jc w:val="center"/>
              <w:rPr>
                <w:rFonts w:eastAsia="Times New Roman"/>
                <w:bCs w:val="0"/>
                <w:i/>
                <w:iCs/>
                <w:lang w:eastAsia="fr-FR"/>
              </w:rPr>
            </w:pPr>
          </w:p>
          <w:p w:rsidR="006D45AD" w:rsidRDefault="006D45AD" w:rsidP="00BC6FBD">
            <w:pPr>
              <w:autoSpaceDE/>
              <w:autoSpaceDN/>
              <w:adjustRightInd/>
              <w:spacing w:after="0" w:line="240" w:lineRule="auto"/>
              <w:jc w:val="center"/>
              <w:rPr>
                <w:rFonts w:eastAsia="Times New Roman"/>
                <w:bCs w:val="0"/>
                <w:i/>
                <w:iCs/>
                <w:lang w:eastAsia="fr-FR"/>
              </w:rPr>
            </w:pPr>
          </w:p>
          <w:p w:rsidR="006D45AD" w:rsidRPr="00BC6FBD" w:rsidRDefault="006D45AD" w:rsidP="00BC6FBD">
            <w:pPr>
              <w:autoSpaceDE/>
              <w:autoSpaceDN/>
              <w:adjustRightInd/>
              <w:spacing w:after="0" w:line="240" w:lineRule="auto"/>
              <w:jc w:val="center"/>
              <w:rPr>
                <w:rFonts w:eastAsia="Times New Roman"/>
                <w:bCs w:val="0"/>
                <w:i/>
                <w:iCs/>
                <w:lang w:eastAsia="fr-FR"/>
              </w:rPr>
            </w:pPr>
            <w:r>
              <w:rPr>
                <w:rFonts w:eastAsia="Times New Roman"/>
                <w:bCs w:val="0"/>
                <w:i/>
                <w:iCs/>
                <w:sz w:val="22"/>
                <w:szCs w:val="22"/>
                <w:lang w:eastAsia="fr-FR"/>
              </w:rPr>
              <w:t>6,45</w:t>
            </w:r>
          </w:p>
        </w:tc>
      </w:tr>
      <w:tr w:rsidR="006D45AD" w:rsidRPr="00BC6FBD" w:rsidTr="00490FCF">
        <w:trPr>
          <w:trHeight w:val="1215"/>
        </w:trPr>
        <w:tc>
          <w:tcPr>
            <w:tcW w:w="1460" w:type="dxa"/>
            <w:vMerge/>
            <w:tcBorders>
              <w:top w:val="nil"/>
              <w:left w:val="single" w:sz="8" w:space="0" w:color="auto"/>
              <w:bottom w:val="single" w:sz="8" w:space="0" w:color="000000"/>
              <w:right w:val="single" w:sz="8" w:space="0" w:color="auto"/>
            </w:tcBorders>
            <w:vAlign w:val="center"/>
            <w:hideMark/>
          </w:tcPr>
          <w:p w:rsidR="006D45AD" w:rsidRPr="00BC6FBD" w:rsidRDefault="006D45AD" w:rsidP="00BC6FBD">
            <w:pPr>
              <w:autoSpaceDE/>
              <w:autoSpaceDN/>
              <w:adjustRightInd/>
              <w:spacing w:after="0" w:line="240" w:lineRule="auto"/>
              <w:jc w:val="left"/>
              <w:rPr>
                <w:rFonts w:eastAsia="Times New Roman"/>
                <w:b/>
                <w:lang w:eastAsia="fr-FR"/>
              </w:rPr>
            </w:pPr>
          </w:p>
        </w:tc>
        <w:tc>
          <w:tcPr>
            <w:tcW w:w="2946" w:type="dxa"/>
            <w:tcBorders>
              <w:top w:val="nil"/>
              <w:left w:val="nil"/>
              <w:bottom w:val="single" w:sz="8" w:space="0" w:color="auto"/>
              <w:right w:val="single" w:sz="8" w:space="0" w:color="auto"/>
            </w:tcBorders>
            <w:shd w:val="clear" w:color="auto" w:fill="auto"/>
            <w:hideMark/>
          </w:tcPr>
          <w:p w:rsidR="006D45AD" w:rsidRPr="00BC6FBD" w:rsidRDefault="006D45AD"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Agences d'assurance maladie sociale</w:t>
            </w:r>
          </w:p>
        </w:tc>
        <w:tc>
          <w:tcPr>
            <w:tcW w:w="1701" w:type="dxa"/>
            <w:tcBorders>
              <w:top w:val="nil"/>
              <w:left w:val="nil"/>
              <w:bottom w:val="single" w:sz="8" w:space="0" w:color="auto"/>
              <w:right w:val="single" w:sz="8" w:space="0" w:color="auto"/>
            </w:tcBorders>
            <w:shd w:val="clear" w:color="auto" w:fill="auto"/>
            <w:noWrap/>
            <w:vAlign w:val="bottom"/>
            <w:hideMark/>
          </w:tcPr>
          <w:p w:rsidR="006D45AD" w:rsidRPr="00BC6FBD" w:rsidRDefault="006D45AD"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1 122,86</w:t>
            </w:r>
          </w:p>
        </w:tc>
        <w:tc>
          <w:tcPr>
            <w:tcW w:w="1701" w:type="dxa"/>
            <w:tcBorders>
              <w:top w:val="nil"/>
              <w:left w:val="nil"/>
              <w:bottom w:val="single" w:sz="8" w:space="0" w:color="auto"/>
              <w:right w:val="single" w:sz="8" w:space="0" w:color="auto"/>
            </w:tcBorders>
            <w:shd w:val="clear" w:color="auto" w:fill="auto"/>
            <w:noWrap/>
            <w:vAlign w:val="bottom"/>
            <w:hideMark/>
          </w:tcPr>
          <w:p w:rsidR="006D45AD" w:rsidRPr="00BC6FBD" w:rsidRDefault="006D45AD"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0,92</w:t>
            </w:r>
          </w:p>
        </w:tc>
        <w:tc>
          <w:tcPr>
            <w:tcW w:w="1679" w:type="dxa"/>
            <w:vMerge/>
            <w:tcBorders>
              <w:left w:val="nil"/>
              <w:right w:val="single" w:sz="8" w:space="0" w:color="auto"/>
            </w:tcBorders>
          </w:tcPr>
          <w:p w:rsidR="006D45AD" w:rsidRPr="00BC6FBD" w:rsidRDefault="006D45AD" w:rsidP="00BC6FBD">
            <w:pPr>
              <w:autoSpaceDE/>
              <w:autoSpaceDN/>
              <w:adjustRightInd/>
              <w:spacing w:after="0" w:line="240" w:lineRule="auto"/>
              <w:jc w:val="center"/>
              <w:rPr>
                <w:rFonts w:eastAsia="Times New Roman"/>
                <w:bCs w:val="0"/>
                <w:i/>
                <w:iCs/>
                <w:lang w:eastAsia="fr-FR"/>
              </w:rPr>
            </w:pPr>
          </w:p>
        </w:tc>
      </w:tr>
      <w:tr w:rsidR="006D45AD" w:rsidRPr="00BC6FBD" w:rsidTr="00490FCF">
        <w:trPr>
          <w:trHeight w:val="1815"/>
        </w:trPr>
        <w:tc>
          <w:tcPr>
            <w:tcW w:w="1460" w:type="dxa"/>
            <w:vMerge/>
            <w:tcBorders>
              <w:top w:val="nil"/>
              <w:left w:val="single" w:sz="8" w:space="0" w:color="auto"/>
              <w:bottom w:val="single" w:sz="8" w:space="0" w:color="000000"/>
              <w:right w:val="single" w:sz="8" w:space="0" w:color="auto"/>
            </w:tcBorders>
            <w:vAlign w:val="center"/>
            <w:hideMark/>
          </w:tcPr>
          <w:p w:rsidR="006D45AD" w:rsidRPr="00BC6FBD" w:rsidRDefault="006D45AD" w:rsidP="00BC6FBD">
            <w:pPr>
              <w:autoSpaceDE/>
              <w:autoSpaceDN/>
              <w:adjustRightInd/>
              <w:spacing w:after="0" w:line="240" w:lineRule="auto"/>
              <w:jc w:val="left"/>
              <w:rPr>
                <w:rFonts w:eastAsia="Times New Roman"/>
                <w:b/>
                <w:lang w:eastAsia="fr-FR"/>
              </w:rPr>
            </w:pPr>
          </w:p>
        </w:tc>
        <w:tc>
          <w:tcPr>
            <w:tcW w:w="2946" w:type="dxa"/>
            <w:tcBorders>
              <w:top w:val="nil"/>
              <w:left w:val="nil"/>
              <w:bottom w:val="single" w:sz="8" w:space="0" w:color="auto"/>
              <w:right w:val="single" w:sz="8" w:space="0" w:color="auto"/>
            </w:tcBorders>
            <w:shd w:val="clear" w:color="auto" w:fill="auto"/>
            <w:hideMark/>
          </w:tcPr>
          <w:p w:rsidR="006D45AD" w:rsidRPr="00BC6FBD" w:rsidRDefault="006D45AD"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Agences administratifs de l'assurance maladie privée</w:t>
            </w:r>
          </w:p>
        </w:tc>
        <w:tc>
          <w:tcPr>
            <w:tcW w:w="1701" w:type="dxa"/>
            <w:tcBorders>
              <w:top w:val="nil"/>
              <w:left w:val="nil"/>
              <w:bottom w:val="single" w:sz="8" w:space="0" w:color="auto"/>
              <w:right w:val="single" w:sz="8" w:space="0" w:color="auto"/>
            </w:tcBorders>
            <w:shd w:val="clear" w:color="auto" w:fill="auto"/>
            <w:noWrap/>
            <w:vAlign w:val="bottom"/>
            <w:hideMark/>
          </w:tcPr>
          <w:p w:rsidR="006D45AD" w:rsidRPr="00BC6FBD" w:rsidRDefault="006D45AD"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1,59</w:t>
            </w:r>
          </w:p>
        </w:tc>
        <w:tc>
          <w:tcPr>
            <w:tcW w:w="1701" w:type="dxa"/>
            <w:tcBorders>
              <w:top w:val="nil"/>
              <w:left w:val="nil"/>
              <w:bottom w:val="single" w:sz="8" w:space="0" w:color="auto"/>
              <w:right w:val="single" w:sz="8" w:space="0" w:color="auto"/>
            </w:tcBorders>
            <w:shd w:val="clear" w:color="auto" w:fill="auto"/>
            <w:noWrap/>
            <w:vAlign w:val="bottom"/>
            <w:hideMark/>
          </w:tcPr>
          <w:p w:rsidR="006D45AD" w:rsidRPr="00BC6FBD" w:rsidRDefault="006D45AD"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0,00</w:t>
            </w:r>
          </w:p>
        </w:tc>
        <w:tc>
          <w:tcPr>
            <w:tcW w:w="1679" w:type="dxa"/>
            <w:vMerge/>
            <w:tcBorders>
              <w:left w:val="nil"/>
              <w:bottom w:val="single" w:sz="8" w:space="0" w:color="auto"/>
              <w:right w:val="single" w:sz="8" w:space="0" w:color="auto"/>
            </w:tcBorders>
          </w:tcPr>
          <w:p w:rsidR="006D45AD" w:rsidRPr="00BC6FBD" w:rsidRDefault="006D45AD" w:rsidP="00BC6FBD">
            <w:pPr>
              <w:autoSpaceDE/>
              <w:autoSpaceDN/>
              <w:adjustRightInd/>
              <w:spacing w:after="0" w:line="240" w:lineRule="auto"/>
              <w:jc w:val="center"/>
              <w:rPr>
                <w:rFonts w:eastAsia="Times New Roman"/>
                <w:bCs w:val="0"/>
                <w:i/>
                <w:iCs/>
                <w:lang w:eastAsia="fr-FR"/>
              </w:rPr>
            </w:pPr>
          </w:p>
        </w:tc>
      </w:tr>
      <w:tr w:rsidR="00A80ABC" w:rsidRPr="00BC6FBD" w:rsidTr="00C63457">
        <w:trPr>
          <w:trHeight w:val="2415"/>
        </w:trPr>
        <w:tc>
          <w:tcPr>
            <w:tcW w:w="1460" w:type="dxa"/>
            <w:tcBorders>
              <w:top w:val="nil"/>
              <w:left w:val="single" w:sz="8" w:space="0" w:color="auto"/>
              <w:bottom w:val="single" w:sz="8" w:space="0" w:color="auto"/>
              <w:right w:val="single" w:sz="8" w:space="0" w:color="auto"/>
            </w:tcBorders>
            <w:shd w:val="clear" w:color="auto" w:fill="auto"/>
            <w:vAlign w:val="bottom"/>
            <w:hideMark/>
          </w:tcPr>
          <w:p w:rsidR="00A80ABC" w:rsidRPr="00BC6FBD" w:rsidRDefault="00A80ABC" w:rsidP="00BC6FBD">
            <w:pPr>
              <w:autoSpaceDE/>
              <w:autoSpaceDN/>
              <w:adjustRightInd/>
              <w:spacing w:after="0" w:line="240" w:lineRule="auto"/>
              <w:jc w:val="left"/>
              <w:rPr>
                <w:rFonts w:eastAsia="Times New Roman"/>
                <w:b/>
                <w:lang w:eastAsia="fr-FR"/>
              </w:rPr>
            </w:pPr>
            <w:r w:rsidRPr="00BC6FBD">
              <w:rPr>
                <w:rFonts w:eastAsia="Times New Roman"/>
                <w:b/>
                <w:sz w:val="22"/>
                <w:szCs w:val="22"/>
                <w:lang w:eastAsia="fr-FR"/>
              </w:rPr>
              <w:t>Reste de l'économie</w:t>
            </w:r>
          </w:p>
        </w:tc>
        <w:tc>
          <w:tcPr>
            <w:tcW w:w="2946" w:type="dxa"/>
            <w:tcBorders>
              <w:top w:val="nil"/>
              <w:left w:val="nil"/>
              <w:bottom w:val="single" w:sz="8" w:space="0" w:color="auto"/>
              <w:right w:val="single" w:sz="8" w:space="0" w:color="auto"/>
            </w:tcBorders>
            <w:shd w:val="clear" w:color="auto" w:fill="auto"/>
            <w:hideMark/>
          </w:tcPr>
          <w:p w:rsidR="00A80ABC" w:rsidRPr="00BC6FBD" w:rsidRDefault="00A80ABC" w:rsidP="00BC6FBD">
            <w:pPr>
              <w:autoSpaceDE/>
              <w:autoSpaceDN/>
              <w:adjustRightInd/>
              <w:spacing w:after="0" w:line="240" w:lineRule="auto"/>
              <w:jc w:val="left"/>
              <w:rPr>
                <w:rFonts w:eastAsia="Times New Roman"/>
                <w:bCs w:val="0"/>
                <w:i/>
                <w:iCs/>
                <w:lang w:eastAsia="fr-FR"/>
              </w:rPr>
            </w:pPr>
            <w:r w:rsidRPr="00BC6FBD">
              <w:rPr>
                <w:rFonts w:eastAsia="Times New Roman"/>
                <w:bCs w:val="0"/>
                <w:i/>
                <w:iCs/>
                <w:sz w:val="22"/>
                <w:szCs w:val="22"/>
                <w:lang w:eastAsia="fr-FR"/>
              </w:rPr>
              <w:t>Toutes autres industries prestataires secondaires de soins de santé</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82,93</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i/>
                <w:iCs/>
                <w:lang w:eastAsia="fr-FR"/>
              </w:rPr>
            </w:pPr>
            <w:r w:rsidRPr="00BC6FBD">
              <w:rPr>
                <w:rFonts w:eastAsia="Times New Roman"/>
                <w:bCs w:val="0"/>
                <w:i/>
                <w:iCs/>
                <w:sz w:val="22"/>
                <w:szCs w:val="22"/>
                <w:lang w:eastAsia="fr-FR"/>
              </w:rPr>
              <w:t>0,068</w:t>
            </w:r>
          </w:p>
        </w:tc>
        <w:tc>
          <w:tcPr>
            <w:tcW w:w="1679" w:type="dxa"/>
            <w:tcBorders>
              <w:top w:val="nil"/>
              <w:left w:val="nil"/>
              <w:bottom w:val="single" w:sz="8" w:space="0" w:color="auto"/>
              <w:right w:val="single" w:sz="8" w:space="0" w:color="auto"/>
            </w:tcBorders>
          </w:tcPr>
          <w:p w:rsidR="00A80ABC" w:rsidRPr="00BC6FBD" w:rsidRDefault="00A80ABC" w:rsidP="00BC6FBD">
            <w:pPr>
              <w:autoSpaceDE/>
              <w:autoSpaceDN/>
              <w:adjustRightInd/>
              <w:spacing w:after="0" w:line="240" w:lineRule="auto"/>
              <w:jc w:val="center"/>
              <w:rPr>
                <w:rFonts w:eastAsia="Times New Roman"/>
                <w:bCs w:val="0"/>
                <w:i/>
                <w:iCs/>
                <w:lang w:eastAsia="fr-FR"/>
              </w:rPr>
            </w:pPr>
          </w:p>
        </w:tc>
      </w:tr>
      <w:tr w:rsidR="00A80ABC" w:rsidRPr="00BC6FBD" w:rsidTr="00C63457">
        <w:trPr>
          <w:trHeight w:val="615"/>
        </w:trPr>
        <w:tc>
          <w:tcPr>
            <w:tcW w:w="1460" w:type="dxa"/>
            <w:tcBorders>
              <w:top w:val="nil"/>
              <w:left w:val="single" w:sz="8" w:space="0" w:color="auto"/>
              <w:bottom w:val="single" w:sz="8" w:space="0" w:color="auto"/>
              <w:right w:val="single" w:sz="8" w:space="0" w:color="auto"/>
            </w:tcBorders>
            <w:shd w:val="clear" w:color="auto" w:fill="auto"/>
            <w:hideMark/>
          </w:tcPr>
          <w:p w:rsidR="00A80ABC" w:rsidRPr="00BC6FBD" w:rsidRDefault="00A80ABC" w:rsidP="00BC6FBD">
            <w:pPr>
              <w:autoSpaceDE/>
              <w:autoSpaceDN/>
              <w:adjustRightInd/>
              <w:spacing w:after="0" w:line="240" w:lineRule="auto"/>
              <w:jc w:val="left"/>
              <w:rPr>
                <w:rFonts w:eastAsia="Times New Roman"/>
                <w:b/>
                <w:lang w:eastAsia="fr-FR"/>
              </w:rPr>
            </w:pPr>
            <w:r w:rsidRPr="00BC6FBD">
              <w:rPr>
                <w:rFonts w:eastAsia="Times New Roman"/>
                <w:b/>
                <w:sz w:val="22"/>
                <w:szCs w:val="22"/>
                <w:lang w:eastAsia="fr-FR"/>
              </w:rPr>
              <w:t>Reste du monde</w:t>
            </w:r>
          </w:p>
        </w:tc>
        <w:tc>
          <w:tcPr>
            <w:tcW w:w="2946" w:type="dxa"/>
            <w:tcBorders>
              <w:top w:val="nil"/>
              <w:left w:val="nil"/>
              <w:bottom w:val="single" w:sz="8" w:space="0" w:color="auto"/>
              <w:right w:val="single" w:sz="8" w:space="0" w:color="auto"/>
            </w:tcBorders>
            <w:shd w:val="clear" w:color="auto" w:fill="auto"/>
            <w:hideMark/>
          </w:tcPr>
          <w:p w:rsidR="00A80ABC" w:rsidRPr="00BC6FBD" w:rsidRDefault="00A80ABC" w:rsidP="00BC6FBD">
            <w:pPr>
              <w:autoSpaceDE/>
              <w:autoSpaceDN/>
              <w:adjustRightInd/>
              <w:spacing w:after="0" w:line="240" w:lineRule="auto"/>
              <w:jc w:val="left"/>
              <w:rPr>
                <w:rFonts w:eastAsia="Times New Roman"/>
                <w:bCs w:val="0"/>
                <w:lang w:eastAsia="fr-FR"/>
              </w:rPr>
            </w:pPr>
            <w:r w:rsidRPr="00BC6FBD">
              <w:rPr>
                <w:rFonts w:eastAsia="Times New Roman"/>
                <w:bCs w:val="0"/>
                <w:sz w:val="22"/>
                <w:szCs w:val="22"/>
                <w:lang w:eastAsia="fr-FR"/>
              </w:rPr>
              <w:t>Reste du monde</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lang w:eastAsia="fr-FR"/>
              </w:rPr>
            </w:pPr>
            <w:r w:rsidRPr="00BC6FBD">
              <w:rPr>
                <w:rFonts w:eastAsia="Times New Roman"/>
                <w:bCs w:val="0"/>
                <w:sz w:val="22"/>
                <w:szCs w:val="22"/>
                <w:lang w:eastAsia="fr-FR"/>
              </w:rPr>
              <w:t>479,74</w:t>
            </w:r>
          </w:p>
        </w:tc>
        <w:tc>
          <w:tcPr>
            <w:tcW w:w="1701" w:type="dxa"/>
            <w:tcBorders>
              <w:top w:val="nil"/>
              <w:left w:val="nil"/>
              <w:bottom w:val="single" w:sz="8"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lang w:eastAsia="fr-FR"/>
              </w:rPr>
            </w:pPr>
            <w:r w:rsidRPr="00BC6FBD">
              <w:rPr>
                <w:rFonts w:eastAsia="Times New Roman"/>
                <w:bCs w:val="0"/>
                <w:sz w:val="22"/>
                <w:szCs w:val="22"/>
                <w:lang w:eastAsia="fr-FR"/>
              </w:rPr>
              <w:t>0,40</w:t>
            </w:r>
          </w:p>
        </w:tc>
        <w:tc>
          <w:tcPr>
            <w:tcW w:w="1679" w:type="dxa"/>
            <w:tcBorders>
              <w:top w:val="nil"/>
              <w:left w:val="nil"/>
              <w:bottom w:val="single" w:sz="8" w:space="0" w:color="auto"/>
              <w:right w:val="single" w:sz="8" w:space="0" w:color="auto"/>
            </w:tcBorders>
          </w:tcPr>
          <w:p w:rsidR="00A80ABC" w:rsidRPr="00BC6FBD" w:rsidRDefault="00A80ABC" w:rsidP="00BC6FBD">
            <w:pPr>
              <w:autoSpaceDE/>
              <w:autoSpaceDN/>
              <w:adjustRightInd/>
              <w:spacing w:after="0" w:line="240" w:lineRule="auto"/>
              <w:jc w:val="center"/>
              <w:rPr>
                <w:rFonts w:eastAsia="Times New Roman"/>
                <w:bCs w:val="0"/>
                <w:lang w:eastAsia="fr-FR"/>
              </w:rPr>
            </w:pPr>
          </w:p>
        </w:tc>
      </w:tr>
      <w:tr w:rsidR="00A80ABC" w:rsidRPr="00BC6FBD" w:rsidTr="00750033">
        <w:trPr>
          <w:trHeight w:val="1725"/>
        </w:trPr>
        <w:tc>
          <w:tcPr>
            <w:tcW w:w="1460" w:type="dxa"/>
            <w:tcBorders>
              <w:top w:val="nil"/>
              <w:left w:val="single" w:sz="8" w:space="0" w:color="auto"/>
              <w:bottom w:val="single" w:sz="8" w:space="0" w:color="auto"/>
              <w:right w:val="single" w:sz="8" w:space="0" w:color="auto"/>
            </w:tcBorders>
            <w:shd w:val="clear" w:color="auto" w:fill="auto"/>
            <w:hideMark/>
          </w:tcPr>
          <w:p w:rsidR="00A80ABC" w:rsidRPr="00BC6FBD" w:rsidRDefault="00A80ABC" w:rsidP="00BC6FBD">
            <w:pPr>
              <w:autoSpaceDE/>
              <w:autoSpaceDN/>
              <w:adjustRightInd/>
              <w:spacing w:after="0" w:line="240" w:lineRule="auto"/>
              <w:jc w:val="left"/>
              <w:rPr>
                <w:rFonts w:eastAsia="Times New Roman"/>
                <w:b/>
                <w:lang w:eastAsia="fr-FR"/>
              </w:rPr>
            </w:pPr>
            <w:r w:rsidRPr="00BC6FBD">
              <w:rPr>
                <w:rFonts w:eastAsia="Times New Roman"/>
                <w:b/>
                <w:sz w:val="22"/>
                <w:szCs w:val="22"/>
                <w:lang w:eastAsia="fr-FR"/>
              </w:rPr>
              <w:t>Prestataires de soins de santé non spécifiés (n.c.a.)</w:t>
            </w:r>
          </w:p>
        </w:tc>
        <w:tc>
          <w:tcPr>
            <w:tcW w:w="2946" w:type="dxa"/>
            <w:tcBorders>
              <w:top w:val="nil"/>
              <w:left w:val="nil"/>
              <w:bottom w:val="single" w:sz="8" w:space="0" w:color="auto"/>
              <w:right w:val="single" w:sz="8" w:space="0" w:color="auto"/>
            </w:tcBorders>
            <w:shd w:val="clear" w:color="auto" w:fill="auto"/>
            <w:hideMark/>
          </w:tcPr>
          <w:p w:rsidR="00A80ABC" w:rsidRPr="00BC6FBD" w:rsidRDefault="00A80ABC" w:rsidP="00BC6FBD">
            <w:pPr>
              <w:autoSpaceDE/>
              <w:autoSpaceDN/>
              <w:adjustRightInd/>
              <w:spacing w:after="0" w:line="240" w:lineRule="auto"/>
              <w:jc w:val="left"/>
              <w:rPr>
                <w:rFonts w:eastAsia="Times New Roman"/>
                <w:bCs w:val="0"/>
                <w:lang w:eastAsia="fr-FR"/>
              </w:rPr>
            </w:pPr>
            <w:r w:rsidRPr="00BC6FBD">
              <w:rPr>
                <w:rFonts w:eastAsia="Times New Roman"/>
                <w:bCs w:val="0"/>
                <w:sz w:val="22"/>
                <w:szCs w:val="22"/>
                <w:lang w:eastAsia="fr-FR"/>
              </w:rPr>
              <w:t>Prestataires de soins de santé non spécifiés (n.c.a.)</w:t>
            </w:r>
          </w:p>
        </w:tc>
        <w:tc>
          <w:tcPr>
            <w:tcW w:w="1701" w:type="dxa"/>
            <w:tcBorders>
              <w:top w:val="nil"/>
              <w:left w:val="nil"/>
              <w:bottom w:val="single" w:sz="4"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lang w:eastAsia="fr-FR"/>
              </w:rPr>
            </w:pPr>
            <w:r w:rsidRPr="00BC6FBD">
              <w:rPr>
                <w:rFonts w:eastAsia="Times New Roman"/>
                <w:bCs w:val="0"/>
                <w:sz w:val="22"/>
                <w:szCs w:val="22"/>
                <w:lang w:eastAsia="fr-FR"/>
              </w:rPr>
              <w:t>11,69</w:t>
            </w:r>
          </w:p>
        </w:tc>
        <w:tc>
          <w:tcPr>
            <w:tcW w:w="1701" w:type="dxa"/>
            <w:tcBorders>
              <w:top w:val="nil"/>
              <w:left w:val="nil"/>
              <w:bottom w:val="single" w:sz="4" w:space="0" w:color="auto"/>
              <w:right w:val="single" w:sz="8"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Cs w:val="0"/>
                <w:lang w:eastAsia="fr-FR"/>
              </w:rPr>
            </w:pPr>
            <w:r w:rsidRPr="00BC6FBD">
              <w:rPr>
                <w:rFonts w:eastAsia="Times New Roman"/>
                <w:bCs w:val="0"/>
                <w:sz w:val="22"/>
                <w:szCs w:val="22"/>
                <w:lang w:eastAsia="fr-FR"/>
              </w:rPr>
              <w:t>0,010</w:t>
            </w:r>
          </w:p>
        </w:tc>
        <w:tc>
          <w:tcPr>
            <w:tcW w:w="1679" w:type="dxa"/>
            <w:tcBorders>
              <w:top w:val="nil"/>
              <w:left w:val="nil"/>
              <w:bottom w:val="single" w:sz="4" w:space="0" w:color="auto"/>
              <w:right w:val="single" w:sz="8" w:space="0" w:color="auto"/>
            </w:tcBorders>
          </w:tcPr>
          <w:p w:rsidR="00A80ABC" w:rsidRPr="00BC6FBD" w:rsidRDefault="00A80ABC" w:rsidP="00BC6FBD">
            <w:pPr>
              <w:autoSpaceDE/>
              <w:autoSpaceDN/>
              <w:adjustRightInd/>
              <w:spacing w:after="0" w:line="240" w:lineRule="auto"/>
              <w:jc w:val="center"/>
              <w:rPr>
                <w:rFonts w:eastAsia="Times New Roman"/>
                <w:bCs w:val="0"/>
                <w:lang w:eastAsia="fr-FR"/>
              </w:rPr>
            </w:pPr>
          </w:p>
        </w:tc>
      </w:tr>
      <w:tr w:rsidR="00A80ABC" w:rsidRPr="00BC6FBD" w:rsidTr="00750033">
        <w:trPr>
          <w:trHeight w:val="315"/>
        </w:trPr>
        <w:tc>
          <w:tcPr>
            <w:tcW w:w="1460" w:type="dxa"/>
            <w:tcBorders>
              <w:top w:val="single" w:sz="8" w:space="0" w:color="auto"/>
              <w:left w:val="single" w:sz="8" w:space="0" w:color="auto"/>
              <w:bottom w:val="single" w:sz="4" w:space="0" w:color="auto"/>
              <w:right w:val="single" w:sz="8" w:space="0" w:color="auto"/>
            </w:tcBorders>
            <w:shd w:val="clear" w:color="auto" w:fill="auto"/>
            <w:noWrap/>
            <w:hideMark/>
          </w:tcPr>
          <w:p w:rsidR="00A80ABC" w:rsidRPr="00BC6FBD" w:rsidRDefault="00A80ABC" w:rsidP="00BC6FBD">
            <w:pPr>
              <w:autoSpaceDE/>
              <w:autoSpaceDN/>
              <w:adjustRightInd/>
              <w:spacing w:after="0" w:line="240" w:lineRule="auto"/>
              <w:jc w:val="left"/>
              <w:rPr>
                <w:rFonts w:eastAsia="Times New Roman"/>
                <w:b/>
                <w:lang w:eastAsia="fr-FR"/>
              </w:rPr>
            </w:pPr>
            <w:r w:rsidRPr="00BC6FBD">
              <w:rPr>
                <w:rFonts w:eastAsia="Times New Roman"/>
                <w:b/>
                <w:sz w:val="22"/>
                <w:szCs w:val="22"/>
                <w:lang w:eastAsia="fr-FR"/>
              </w:rPr>
              <w:t>Total</w:t>
            </w:r>
          </w:p>
        </w:tc>
        <w:tc>
          <w:tcPr>
            <w:tcW w:w="2946" w:type="dxa"/>
            <w:tcBorders>
              <w:top w:val="single" w:sz="8" w:space="0" w:color="auto"/>
              <w:left w:val="nil"/>
              <w:bottom w:val="single" w:sz="4" w:space="0" w:color="auto"/>
              <w:right w:val="single" w:sz="4" w:space="0" w:color="auto"/>
            </w:tcBorders>
            <w:shd w:val="clear" w:color="auto" w:fill="auto"/>
            <w:noWrap/>
            <w:hideMark/>
          </w:tcPr>
          <w:p w:rsidR="00A80ABC" w:rsidRPr="00BC6FBD" w:rsidRDefault="00A80ABC" w:rsidP="00BC6FBD">
            <w:pPr>
              <w:autoSpaceDE/>
              <w:autoSpaceDN/>
              <w:adjustRightInd/>
              <w:spacing w:after="0" w:line="240" w:lineRule="auto"/>
              <w:jc w:val="left"/>
              <w:rPr>
                <w:rFonts w:eastAsia="Times New Roman"/>
                <w:b/>
                <w:i/>
                <w:iCs/>
                <w:lang w:eastAsia="fr-FR"/>
              </w:rPr>
            </w:pPr>
            <w:r w:rsidRPr="00BC6FBD">
              <w:rPr>
                <w:rFonts w:eastAsia="Times New Roman"/>
                <w:b/>
                <w:i/>
                <w:iCs/>
                <w:sz w:val="22"/>
                <w:szCs w:val="22"/>
                <w:lang w:eastAsia="fr-FR"/>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0ABC" w:rsidRPr="00BC6FBD" w:rsidRDefault="00A80ABC" w:rsidP="00BC6FBD">
            <w:pPr>
              <w:autoSpaceDE/>
              <w:autoSpaceDN/>
              <w:adjustRightInd/>
              <w:spacing w:after="0" w:line="240" w:lineRule="auto"/>
              <w:jc w:val="right"/>
              <w:rPr>
                <w:rFonts w:ascii="Calibri" w:eastAsia="Times New Roman" w:hAnsi="Calibri"/>
                <w:bCs w:val="0"/>
                <w:lang w:eastAsia="fr-FR"/>
              </w:rPr>
            </w:pPr>
            <w:r w:rsidRPr="00BC6FBD">
              <w:rPr>
                <w:rFonts w:ascii="Calibri" w:eastAsia="Times New Roman" w:hAnsi="Calibri"/>
                <w:bCs w:val="0"/>
                <w:sz w:val="22"/>
                <w:szCs w:val="22"/>
                <w:lang w:eastAsia="fr-FR"/>
              </w:rPr>
              <w:t>121 443,17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0ABC" w:rsidRPr="00BC6FBD" w:rsidRDefault="00A80ABC" w:rsidP="00BC6FBD">
            <w:pPr>
              <w:autoSpaceDE/>
              <w:autoSpaceDN/>
              <w:adjustRightInd/>
              <w:spacing w:after="0" w:line="240" w:lineRule="auto"/>
              <w:jc w:val="center"/>
              <w:rPr>
                <w:rFonts w:eastAsia="Times New Roman"/>
                <w:b/>
                <w:lang w:eastAsia="fr-FR"/>
              </w:rPr>
            </w:pPr>
            <w:r w:rsidRPr="00BC6FBD">
              <w:rPr>
                <w:rFonts w:eastAsia="Times New Roman"/>
                <w:b/>
                <w:sz w:val="22"/>
                <w:szCs w:val="22"/>
                <w:lang w:eastAsia="fr-FR"/>
              </w:rPr>
              <w:t>100</w:t>
            </w:r>
          </w:p>
        </w:tc>
        <w:tc>
          <w:tcPr>
            <w:tcW w:w="1679" w:type="dxa"/>
            <w:tcBorders>
              <w:top w:val="single" w:sz="4" w:space="0" w:color="auto"/>
              <w:left w:val="single" w:sz="4" w:space="0" w:color="auto"/>
              <w:bottom w:val="single" w:sz="4" w:space="0" w:color="auto"/>
              <w:right w:val="single" w:sz="4" w:space="0" w:color="auto"/>
            </w:tcBorders>
          </w:tcPr>
          <w:p w:rsidR="00A80ABC" w:rsidRPr="00BC6FBD" w:rsidRDefault="00A80ABC" w:rsidP="00BC6FBD">
            <w:pPr>
              <w:autoSpaceDE/>
              <w:autoSpaceDN/>
              <w:adjustRightInd/>
              <w:spacing w:after="0" w:line="240" w:lineRule="auto"/>
              <w:jc w:val="center"/>
              <w:rPr>
                <w:rFonts w:eastAsia="Times New Roman"/>
                <w:b/>
                <w:lang w:eastAsia="fr-FR"/>
              </w:rPr>
            </w:pPr>
          </w:p>
        </w:tc>
      </w:tr>
    </w:tbl>
    <w:p w:rsidR="00BC6FBD" w:rsidRDefault="00BC6FBD" w:rsidP="00587784">
      <w:pPr>
        <w:spacing w:line="312" w:lineRule="auto"/>
        <w:rPr>
          <w:lang w:eastAsia="fr-FR"/>
        </w:rPr>
      </w:pPr>
    </w:p>
    <w:p w:rsidR="00E8426A" w:rsidRPr="006A5E00" w:rsidRDefault="00E8426A" w:rsidP="00587784">
      <w:pPr>
        <w:spacing w:line="312" w:lineRule="auto"/>
        <w:rPr>
          <w:lang w:eastAsia="fr-FR"/>
        </w:rPr>
      </w:pPr>
      <w:r w:rsidRPr="006A5E00">
        <w:rPr>
          <w:lang w:eastAsia="fr-FR"/>
        </w:rPr>
        <w:t xml:space="preserve">En </w:t>
      </w:r>
      <w:r w:rsidR="0052763E" w:rsidRPr="006A5E00">
        <w:rPr>
          <w:lang w:eastAsia="fr-FR"/>
        </w:rPr>
        <w:t>201</w:t>
      </w:r>
      <w:r w:rsidR="0052763E">
        <w:rPr>
          <w:lang w:eastAsia="fr-FR"/>
        </w:rPr>
        <w:t>4</w:t>
      </w:r>
      <w:r w:rsidRPr="006A5E00">
        <w:rPr>
          <w:lang w:eastAsia="fr-FR"/>
        </w:rPr>
        <w:t xml:space="preserve">, l’essentiel des dépenses de lutte contre le paludisme s’est effectué au niveau des  hôpitaux </w:t>
      </w:r>
      <w:r w:rsidR="009C48FE" w:rsidRPr="006A5E00">
        <w:rPr>
          <w:lang w:eastAsia="fr-FR"/>
        </w:rPr>
        <w:t xml:space="preserve">avec </w:t>
      </w:r>
      <w:r w:rsidR="006D45AD" w:rsidRPr="009A11F9">
        <w:rPr>
          <w:lang w:eastAsia="fr-FR"/>
        </w:rPr>
        <w:t>49,698</w:t>
      </w:r>
      <w:r w:rsidRPr="006A5E00">
        <w:rPr>
          <w:lang w:eastAsia="fr-FR"/>
        </w:rPr>
        <w:t xml:space="preserve"> milliards de francs CFA soit </w:t>
      </w:r>
      <w:r w:rsidR="00AD5A8B">
        <w:rPr>
          <w:lang w:eastAsia="fr-FR"/>
        </w:rPr>
        <w:t xml:space="preserve"> 40,92 </w:t>
      </w:r>
      <w:r w:rsidRPr="006A5E00">
        <w:rPr>
          <w:lang w:eastAsia="fr-FR"/>
        </w:rPr>
        <w:t>%. Dans ces dépenses, ce sont les hôpitaux généraux publics composés de</w:t>
      </w:r>
      <w:r w:rsidR="009C48FE" w:rsidRPr="006A5E00">
        <w:rPr>
          <w:lang w:eastAsia="fr-FR"/>
        </w:rPr>
        <w:t>s</w:t>
      </w:r>
      <w:r w:rsidR="00F46A0C">
        <w:rPr>
          <w:lang w:eastAsia="fr-FR"/>
        </w:rPr>
        <w:t xml:space="preserve"> </w:t>
      </w:r>
      <w:r w:rsidRPr="006A5E00">
        <w:rPr>
          <w:lang w:eastAsia="fr-FR"/>
        </w:rPr>
        <w:t xml:space="preserve">CSRéf, </w:t>
      </w:r>
      <w:r w:rsidR="009C48FE" w:rsidRPr="006A5E00">
        <w:rPr>
          <w:lang w:eastAsia="fr-FR"/>
        </w:rPr>
        <w:t xml:space="preserve">des </w:t>
      </w:r>
      <w:r w:rsidRPr="006A5E00">
        <w:rPr>
          <w:lang w:eastAsia="fr-FR"/>
        </w:rPr>
        <w:t>Hôpitaux Région</w:t>
      </w:r>
      <w:r w:rsidR="009C48FE" w:rsidRPr="006A5E00">
        <w:rPr>
          <w:lang w:eastAsia="fr-FR"/>
        </w:rPr>
        <w:t>aux</w:t>
      </w:r>
      <w:r w:rsidRPr="006A5E00">
        <w:rPr>
          <w:lang w:eastAsia="fr-FR"/>
        </w:rPr>
        <w:t xml:space="preserve"> et </w:t>
      </w:r>
      <w:r w:rsidR="009C48FE" w:rsidRPr="006A5E00">
        <w:rPr>
          <w:lang w:eastAsia="fr-FR"/>
        </w:rPr>
        <w:t xml:space="preserve">des </w:t>
      </w:r>
      <w:r w:rsidRPr="006A5E00">
        <w:rPr>
          <w:lang w:eastAsia="fr-FR"/>
        </w:rPr>
        <w:t xml:space="preserve">Hôpitaux Nationaux, qui occupent la première position avec </w:t>
      </w:r>
      <w:r w:rsidR="00AD5A8B">
        <w:rPr>
          <w:lang w:eastAsia="fr-FR"/>
        </w:rPr>
        <w:t xml:space="preserve"> 49,662</w:t>
      </w:r>
      <w:r w:rsidRPr="006A5E00">
        <w:rPr>
          <w:lang w:eastAsia="fr-FR"/>
        </w:rPr>
        <w:t xml:space="preserve"> milliards de francs CFA. Après les hôpitaux généraux, les prestataires de soins de santé ambulatoire viennent en seconde position avec </w:t>
      </w:r>
      <w:r w:rsidR="00AD5A8B">
        <w:rPr>
          <w:lang w:eastAsia="fr-FR"/>
        </w:rPr>
        <w:t>36,45</w:t>
      </w:r>
      <w:r w:rsidRPr="006A5E00">
        <w:rPr>
          <w:lang w:eastAsia="fr-FR"/>
        </w:rPr>
        <w:t xml:space="preserve">% de dépenses consommées à leur niveau. </w:t>
      </w:r>
      <w:r w:rsidR="0052763E">
        <w:rPr>
          <w:lang w:eastAsia="fr-FR"/>
        </w:rPr>
        <w:t xml:space="preserve">Les détaillants et autres prestataires de biens médicaux occupent  quatrième place avec </w:t>
      </w:r>
      <w:r w:rsidR="00AD5A8B">
        <w:rPr>
          <w:lang w:eastAsia="fr-FR"/>
        </w:rPr>
        <w:t>9,32</w:t>
      </w:r>
      <w:r w:rsidR="0052763E">
        <w:rPr>
          <w:lang w:eastAsia="fr-FR"/>
        </w:rPr>
        <w:t xml:space="preserve"> % du total (dont </w:t>
      </w:r>
      <w:r w:rsidR="00AD5A8B">
        <w:rPr>
          <w:lang w:eastAsia="fr-FR"/>
        </w:rPr>
        <w:t>8,04</w:t>
      </w:r>
      <w:r w:rsidR="0052763E">
        <w:rPr>
          <w:lang w:eastAsia="fr-FR"/>
        </w:rPr>
        <w:t xml:space="preserve"> % imputable aux pharmacies). Les prestataires de services administratifs et de financement du système de soins de santé </w:t>
      </w:r>
      <w:r w:rsidR="002D2907">
        <w:rPr>
          <w:lang w:eastAsia="fr-FR"/>
        </w:rPr>
        <w:t xml:space="preserve">viennent  après avec </w:t>
      </w:r>
      <w:r w:rsidR="00AD5A8B">
        <w:rPr>
          <w:lang w:eastAsia="fr-FR"/>
        </w:rPr>
        <w:t>6,45</w:t>
      </w:r>
      <w:r w:rsidR="002D2907">
        <w:rPr>
          <w:lang w:eastAsia="fr-FR"/>
        </w:rPr>
        <w:t xml:space="preserve"> % du total</w:t>
      </w:r>
    </w:p>
    <w:p w:rsidR="006C002B" w:rsidRPr="006A5E00" w:rsidRDefault="00E205B6" w:rsidP="00947090">
      <w:pPr>
        <w:pStyle w:val="Titre2"/>
        <w:ind w:left="1080" w:hanging="720"/>
        <w:rPr>
          <w:noProof/>
        </w:rPr>
      </w:pPr>
      <w:bookmarkStart w:id="67" w:name="_Toc413941252"/>
      <w:r>
        <w:rPr>
          <w:noProof/>
        </w:rPr>
        <w:t xml:space="preserve">4.6. </w:t>
      </w:r>
      <w:r w:rsidR="006C002B" w:rsidRPr="006A5E00">
        <w:rPr>
          <w:noProof/>
        </w:rPr>
        <w:t xml:space="preserve">Répartition des dépenses </w:t>
      </w:r>
      <w:r w:rsidR="001624BB">
        <w:rPr>
          <w:noProof/>
        </w:rPr>
        <w:t xml:space="preserve">du paludisme </w:t>
      </w:r>
      <w:r w:rsidR="006C002B" w:rsidRPr="006A5E00">
        <w:rPr>
          <w:noProof/>
        </w:rPr>
        <w:t>par fonction</w:t>
      </w:r>
      <w:bookmarkEnd w:id="67"/>
    </w:p>
    <w:p w:rsidR="008D0653" w:rsidRPr="006A5E00" w:rsidRDefault="008D0653" w:rsidP="00587784">
      <w:pPr>
        <w:spacing w:line="312" w:lineRule="auto"/>
        <w:rPr>
          <w:noProof/>
          <w:lang w:eastAsia="fr-FR"/>
        </w:rPr>
      </w:pPr>
      <w:r w:rsidRPr="006D2B64">
        <w:rPr>
          <w:noProof/>
          <w:lang w:eastAsia="fr-FR"/>
        </w:rPr>
        <w:t xml:space="preserve">Le tableau </w:t>
      </w:r>
      <w:r w:rsidR="006D2B64" w:rsidRPr="006D2B64">
        <w:rPr>
          <w:noProof/>
          <w:lang w:eastAsia="fr-FR"/>
        </w:rPr>
        <w:t>4.6.1</w:t>
      </w:r>
      <w:r w:rsidRPr="006D2B64">
        <w:rPr>
          <w:noProof/>
          <w:lang w:eastAsia="fr-FR"/>
        </w:rPr>
        <w:t xml:space="preserve"> récapitule les dépenses du paludisme par fonction</w:t>
      </w:r>
      <w:r w:rsidR="00794B75" w:rsidRPr="006D2B64">
        <w:rPr>
          <w:noProof/>
          <w:lang w:eastAsia="fr-FR"/>
        </w:rPr>
        <w:t xml:space="preserve"> en </w:t>
      </w:r>
      <w:r w:rsidR="001637FA" w:rsidRPr="006D2B64">
        <w:rPr>
          <w:noProof/>
          <w:lang w:eastAsia="fr-FR"/>
        </w:rPr>
        <w:t>201</w:t>
      </w:r>
      <w:r w:rsidR="001637FA">
        <w:rPr>
          <w:noProof/>
          <w:lang w:eastAsia="fr-FR"/>
        </w:rPr>
        <w:t>4</w:t>
      </w:r>
      <w:r w:rsidRPr="006D2B64">
        <w:rPr>
          <w:noProof/>
          <w:lang w:eastAsia="fr-FR"/>
        </w:rPr>
        <w:t>.</w:t>
      </w:r>
    </w:p>
    <w:p w:rsidR="006C002B" w:rsidRPr="006D2B64" w:rsidRDefault="006D2B64" w:rsidP="006D2B64">
      <w:pPr>
        <w:pStyle w:val="Lgende"/>
        <w:rPr>
          <w:color w:val="000000" w:themeColor="text1"/>
          <w:sz w:val="22"/>
          <w:szCs w:val="22"/>
          <w:lang w:eastAsia="fr-FR"/>
        </w:rPr>
      </w:pPr>
      <w:bookmarkStart w:id="68" w:name="_Toc483991275"/>
      <w:r w:rsidRPr="006D2B64">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4.6</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1</w:t>
      </w:r>
      <w:r w:rsidR="00E72F8E">
        <w:rPr>
          <w:color w:val="000000" w:themeColor="text1"/>
          <w:sz w:val="22"/>
          <w:szCs w:val="22"/>
        </w:rPr>
        <w:fldChar w:fldCharType="end"/>
      </w:r>
      <w:r w:rsidR="006C002B" w:rsidRPr="006D2B64">
        <w:rPr>
          <w:color w:val="000000" w:themeColor="text1"/>
          <w:sz w:val="22"/>
          <w:szCs w:val="22"/>
          <w:lang w:eastAsia="fr-FR"/>
        </w:rPr>
        <w:t> : Répartition des dépenses de santé du paludisme par type de soins</w:t>
      </w:r>
      <w:bookmarkEnd w:id="68"/>
    </w:p>
    <w:tbl>
      <w:tblPr>
        <w:tblW w:w="0" w:type="auto"/>
        <w:tblCellMar>
          <w:left w:w="70" w:type="dxa"/>
          <w:right w:w="70" w:type="dxa"/>
        </w:tblCellMar>
        <w:tblLook w:val="04A0"/>
      </w:tblPr>
      <w:tblGrid>
        <w:gridCol w:w="5457"/>
        <w:gridCol w:w="2126"/>
        <w:gridCol w:w="1701"/>
      </w:tblGrid>
      <w:tr w:rsidR="00EF7194" w:rsidRPr="00947090" w:rsidTr="00947090">
        <w:trPr>
          <w:trHeight w:val="20"/>
        </w:trPr>
        <w:tc>
          <w:tcPr>
            <w:tcW w:w="5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F7194" w:rsidRPr="00947090" w:rsidRDefault="00EF7194" w:rsidP="00947090">
            <w:pPr>
              <w:autoSpaceDE/>
              <w:autoSpaceDN/>
              <w:adjustRightInd/>
              <w:spacing w:after="0" w:line="240" w:lineRule="auto"/>
              <w:jc w:val="left"/>
              <w:rPr>
                <w:rFonts w:eastAsia="Times New Roman"/>
                <w:b/>
                <w:bCs w:val="0"/>
                <w:lang w:eastAsia="fr-FR"/>
              </w:rPr>
            </w:pP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EF7194" w:rsidRPr="00947090" w:rsidRDefault="00EF7194" w:rsidP="00947090">
            <w:pPr>
              <w:autoSpaceDE/>
              <w:autoSpaceDN/>
              <w:adjustRightInd/>
              <w:spacing w:after="0" w:line="240" w:lineRule="auto"/>
              <w:jc w:val="center"/>
              <w:rPr>
                <w:b/>
              </w:rPr>
            </w:pP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EF7194" w:rsidRPr="00947090" w:rsidRDefault="00EF7194" w:rsidP="00947090">
            <w:pPr>
              <w:autoSpaceDE/>
              <w:autoSpaceDN/>
              <w:adjustRightInd/>
              <w:spacing w:after="0" w:line="240" w:lineRule="auto"/>
              <w:jc w:val="center"/>
              <w:rPr>
                <w:b/>
              </w:rPr>
            </w:pPr>
          </w:p>
        </w:tc>
      </w:tr>
      <w:tr w:rsidR="00007E29" w:rsidRPr="00007E29" w:rsidTr="00007E29">
        <w:trPr>
          <w:trHeight w:val="20"/>
        </w:trPr>
        <w:tc>
          <w:tcPr>
            <w:tcW w:w="5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left"/>
              <w:rPr>
                <w:rFonts w:eastAsia="Times New Roman"/>
                <w:b/>
                <w:bCs w:val="0"/>
                <w:lang w:eastAsia="fr-FR"/>
              </w:rPr>
            </w:pPr>
            <w:r w:rsidRPr="00007E29">
              <w:rPr>
                <w:rFonts w:eastAsia="Times New Roman"/>
                <w:b/>
                <w:bCs w:val="0"/>
                <w:sz w:val="22"/>
                <w:szCs w:val="22"/>
                <w:lang w:eastAsia="fr-FR"/>
              </w:rPr>
              <w:t>Type de soins</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Dépenses</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Pourcentage (%)</w:t>
            </w:r>
          </w:p>
        </w:tc>
      </w:tr>
      <w:tr w:rsidR="00007E29" w:rsidRPr="00007E29" w:rsidTr="00007E29">
        <w:trPr>
          <w:trHeight w:val="20"/>
        </w:trPr>
        <w:tc>
          <w:tcPr>
            <w:tcW w:w="5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left"/>
              <w:rPr>
                <w:rFonts w:eastAsia="Times New Roman"/>
                <w:b/>
                <w:bCs w:val="0"/>
                <w:lang w:eastAsia="fr-FR"/>
              </w:rPr>
            </w:pPr>
            <w:r w:rsidRPr="00007E29">
              <w:rPr>
                <w:rFonts w:eastAsia="Times New Roman"/>
                <w:b/>
                <w:bCs w:val="0"/>
                <w:sz w:val="22"/>
                <w:szCs w:val="22"/>
                <w:lang w:eastAsia="fr-FR"/>
              </w:rPr>
              <w:t>Soins curatifs</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79 581,75</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65,5</w:t>
            </w:r>
          </w:p>
        </w:tc>
      </w:tr>
      <w:tr w:rsidR="00007E29" w:rsidRPr="00007E29" w:rsidTr="00007E29">
        <w:trPr>
          <w:trHeight w:val="20"/>
        </w:trPr>
        <w:tc>
          <w:tcPr>
            <w:tcW w:w="5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left"/>
              <w:rPr>
                <w:rFonts w:eastAsia="Times New Roman"/>
                <w:b/>
                <w:bCs w:val="0"/>
                <w:lang w:eastAsia="fr-FR"/>
              </w:rPr>
            </w:pPr>
            <w:r w:rsidRPr="00007E29">
              <w:rPr>
                <w:rFonts w:eastAsia="Times New Roman"/>
                <w:b/>
                <w:bCs w:val="0"/>
                <w:sz w:val="22"/>
                <w:szCs w:val="22"/>
                <w:lang w:eastAsia="fr-FR"/>
              </w:rPr>
              <w:t>Services auxiliaires (non-spécifié par fonction)</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506,78</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0,4</w:t>
            </w:r>
          </w:p>
        </w:tc>
      </w:tr>
      <w:tr w:rsidR="00007E29" w:rsidRPr="00007E29" w:rsidTr="00007E29">
        <w:trPr>
          <w:trHeight w:val="20"/>
        </w:trPr>
        <w:tc>
          <w:tcPr>
            <w:tcW w:w="5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left"/>
              <w:rPr>
                <w:rFonts w:eastAsia="Times New Roman"/>
                <w:b/>
                <w:bCs w:val="0"/>
                <w:lang w:eastAsia="fr-FR"/>
              </w:rPr>
            </w:pPr>
            <w:r w:rsidRPr="00007E29">
              <w:rPr>
                <w:rFonts w:eastAsia="Times New Roman"/>
                <w:b/>
                <w:bCs w:val="0"/>
                <w:sz w:val="22"/>
                <w:szCs w:val="22"/>
                <w:lang w:eastAsia="fr-FR"/>
              </w:rPr>
              <w:t>Biens médicaux (non-spécifiés par fonction)</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11 317,88</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9,3</w:t>
            </w:r>
          </w:p>
        </w:tc>
      </w:tr>
      <w:tr w:rsidR="00007E29" w:rsidRPr="00007E29" w:rsidTr="00007E29">
        <w:trPr>
          <w:trHeight w:val="20"/>
        </w:trPr>
        <w:tc>
          <w:tcPr>
            <w:tcW w:w="5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left"/>
              <w:rPr>
                <w:rFonts w:eastAsia="Times New Roman"/>
                <w:b/>
                <w:bCs w:val="0"/>
                <w:lang w:eastAsia="fr-FR"/>
              </w:rPr>
            </w:pPr>
            <w:r w:rsidRPr="00007E29">
              <w:rPr>
                <w:rFonts w:eastAsia="Times New Roman"/>
                <w:b/>
                <w:bCs w:val="0"/>
                <w:sz w:val="22"/>
                <w:szCs w:val="22"/>
                <w:lang w:eastAsia="fr-FR"/>
              </w:rPr>
              <w:t>Soins préventifs</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22 192,90</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18,3</w:t>
            </w:r>
          </w:p>
        </w:tc>
      </w:tr>
      <w:tr w:rsidR="00007E29" w:rsidRPr="00007E29" w:rsidTr="00007E29">
        <w:trPr>
          <w:trHeight w:val="20"/>
        </w:trPr>
        <w:tc>
          <w:tcPr>
            <w:tcW w:w="5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left"/>
              <w:rPr>
                <w:rFonts w:eastAsia="Times New Roman"/>
                <w:b/>
                <w:bCs w:val="0"/>
                <w:lang w:eastAsia="fr-FR"/>
              </w:rPr>
            </w:pPr>
            <w:r w:rsidRPr="00007E29">
              <w:rPr>
                <w:rFonts w:eastAsia="Times New Roman"/>
                <w:b/>
                <w:bCs w:val="0"/>
                <w:sz w:val="22"/>
                <w:szCs w:val="22"/>
                <w:lang w:eastAsia="fr-FR"/>
              </w:rPr>
              <w:t>Gouvernance, administration du système de santé et des financements</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7 843,86</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6,5</w:t>
            </w:r>
          </w:p>
        </w:tc>
      </w:tr>
      <w:tr w:rsidR="00007E29" w:rsidRPr="00007E29" w:rsidTr="00007E29">
        <w:trPr>
          <w:trHeight w:val="20"/>
        </w:trPr>
        <w:tc>
          <w:tcPr>
            <w:tcW w:w="54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left"/>
              <w:rPr>
                <w:rFonts w:eastAsia="Times New Roman"/>
                <w:b/>
                <w:bCs w:val="0"/>
                <w:lang w:eastAsia="fr-FR"/>
              </w:rPr>
            </w:pPr>
            <w:r w:rsidRPr="00007E29">
              <w:rPr>
                <w:rFonts w:eastAsia="Times New Roman"/>
                <w:b/>
                <w:bCs w:val="0"/>
                <w:sz w:val="22"/>
                <w:szCs w:val="22"/>
                <w:lang w:eastAsia="fr-FR"/>
              </w:rPr>
              <w:t>Total</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121 443,17</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7E29" w:rsidRPr="00007E29" w:rsidRDefault="00007E29" w:rsidP="00007E29">
            <w:pPr>
              <w:autoSpaceDE/>
              <w:autoSpaceDN/>
              <w:adjustRightInd/>
              <w:spacing w:after="0" w:line="240" w:lineRule="auto"/>
              <w:jc w:val="center"/>
              <w:rPr>
                <w:b/>
              </w:rPr>
            </w:pPr>
            <w:r w:rsidRPr="00007E29">
              <w:rPr>
                <w:b/>
                <w:sz w:val="22"/>
                <w:szCs w:val="22"/>
              </w:rPr>
              <w:t>100</w:t>
            </w:r>
          </w:p>
        </w:tc>
      </w:tr>
    </w:tbl>
    <w:p w:rsidR="006C002B" w:rsidRPr="00E41641" w:rsidRDefault="008D0653" w:rsidP="0053700E">
      <w:pPr>
        <w:spacing w:before="240" w:line="312" w:lineRule="auto"/>
        <w:rPr>
          <w:lang w:eastAsia="fr-FR"/>
        </w:rPr>
      </w:pPr>
      <w:r w:rsidRPr="00E41641">
        <w:rPr>
          <w:lang w:eastAsia="fr-FR"/>
        </w:rPr>
        <w:t>La répartition des dépenses de santé par fonction dans le cadre de la lutte contre le paludisme en 201</w:t>
      </w:r>
      <w:r w:rsidR="00EF7194">
        <w:rPr>
          <w:lang w:eastAsia="fr-FR"/>
        </w:rPr>
        <w:t>4</w:t>
      </w:r>
      <w:r w:rsidR="00794B75" w:rsidRPr="00E41641">
        <w:rPr>
          <w:lang w:eastAsia="fr-FR"/>
        </w:rPr>
        <w:t xml:space="preserve">a </w:t>
      </w:r>
      <w:r w:rsidRPr="00E41641">
        <w:rPr>
          <w:lang w:eastAsia="fr-FR"/>
        </w:rPr>
        <w:t>montr</w:t>
      </w:r>
      <w:r w:rsidR="00794B75" w:rsidRPr="00E41641">
        <w:rPr>
          <w:lang w:eastAsia="fr-FR"/>
        </w:rPr>
        <w:t>é</w:t>
      </w:r>
      <w:r w:rsidRPr="00E41641">
        <w:rPr>
          <w:lang w:eastAsia="fr-FR"/>
        </w:rPr>
        <w:t xml:space="preserve"> que les soins curatifs ont le plus </w:t>
      </w:r>
      <w:r w:rsidR="000F1DEB">
        <w:rPr>
          <w:lang w:eastAsia="fr-FR"/>
        </w:rPr>
        <w:t>coû</w:t>
      </w:r>
      <w:r w:rsidR="00794B75" w:rsidRPr="00E41641">
        <w:rPr>
          <w:lang w:eastAsia="fr-FR"/>
        </w:rPr>
        <w:t>té</w:t>
      </w:r>
      <w:r w:rsidRPr="00E41641">
        <w:rPr>
          <w:lang w:eastAsia="fr-FR"/>
        </w:rPr>
        <w:t xml:space="preserve"> avec </w:t>
      </w:r>
      <w:r w:rsidR="00FF7884">
        <w:rPr>
          <w:lang w:eastAsia="fr-FR"/>
        </w:rPr>
        <w:t xml:space="preserve"> 65,5 </w:t>
      </w:r>
      <w:r w:rsidR="00E11A63" w:rsidRPr="00E41641">
        <w:rPr>
          <w:lang w:eastAsia="fr-FR"/>
        </w:rPr>
        <w:t>%</w:t>
      </w:r>
      <w:r w:rsidR="00794B75" w:rsidRPr="00E41641">
        <w:rPr>
          <w:lang w:eastAsia="fr-FR"/>
        </w:rPr>
        <w:t>, suivi des</w:t>
      </w:r>
      <w:r w:rsidRPr="00E41641">
        <w:rPr>
          <w:lang w:eastAsia="fr-FR"/>
        </w:rPr>
        <w:t xml:space="preserve"> soins préventifs</w:t>
      </w:r>
      <w:r w:rsidR="00794B75" w:rsidRPr="00E41641">
        <w:rPr>
          <w:lang w:eastAsia="fr-FR"/>
        </w:rPr>
        <w:t xml:space="preserve"> avec</w:t>
      </w:r>
      <w:r w:rsidR="00FF7884">
        <w:rPr>
          <w:lang w:eastAsia="fr-FR"/>
        </w:rPr>
        <w:t>18</w:t>
      </w:r>
      <w:r w:rsidR="008C7477">
        <w:rPr>
          <w:lang w:eastAsia="fr-FR"/>
        </w:rPr>
        <w:t>,</w:t>
      </w:r>
      <w:r w:rsidR="00FF7884">
        <w:rPr>
          <w:lang w:eastAsia="fr-FR"/>
        </w:rPr>
        <w:t>3</w:t>
      </w:r>
      <w:r w:rsidRPr="00E41641">
        <w:rPr>
          <w:lang w:eastAsia="fr-FR"/>
        </w:rPr>
        <w:t>%</w:t>
      </w:r>
      <w:r w:rsidR="00E11A63" w:rsidRPr="00E41641">
        <w:rPr>
          <w:lang w:eastAsia="fr-FR"/>
        </w:rPr>
        <w:t xml:space="preserve"> des dépenses de paludisme</w:t>
      </w:r>
      <w:r w:rsidR="0053700E">
        <w:rPr>
          <w:lang w:eastAsia="fr-FR"/>
        </w:rPr>
        <w:t xml:space="preserve">.  </w:t>
      </w:r>
    </w:p>
    <w:p w:rsidR="006C002B" w:rsidRPr="00E41641" w:rsidRDefault="00E205B6" w:rsidP="00947090">
      <w:pPr>
        <w:pStyle w:val="Titre2"/>
        <w:ind w:left="1080" w:hanging="720"/>
        <w:rPr>
          <w:noProof/>
        </w:rPr>
      </w:pPr>
      <w:bookmarkStart w:id="69" w:name="_Toc413941253"/>
      <w:r>
        <w:rPr>
          <w:noProof/>
        </w:rPr>
        <w:t xml:space="preserve">4.7. </w:t>
      </w:r>
      <w:r w:rsidR="006C002B" w:rsidRPr="00E41641">
        <w:rPr>
          <w:noProof/>
        </w:rPr>
        <w:t xml:space="preserve">Répartition des dépenses </w:t>
      </w:r>
      <w:r>
        <w:rPr>
          <w:noProof/>
        </w:rPr>
        <w:t xml:space="preserve">de paludisme </w:t>
      </w:r>
      <w:r w:rsidR="00685F3B" w:rsidRPr="00E41641">
        <w:rPr>
          <w:noProof/>
        </w:rPr>
        <w:t>en facteurs de prestation</w:t>
      </w:r>
      <w:bookmarkEnd w:id="69"/>
    </w:p>
    <w:p w:rsidR="00E22A08" w:rsidRDefault="00E22A08" w:rsidP="00587784">
      <w:pPr>
        <w:spacing w:line="312" w:lineRule="auto"/>
        <w:rPr>
          <w:noProof/>
          <w:lang w:eastAsia="fr-FR"/>
        </w:rPr>
      </w:pPr>
      <w:r w:rsidRPr="006D2B64">
        <w:rPr>
          <w:noProof/>
          <w:lang w:eastAsia="fr-FR"/>
        </w:rPr>
        <w:t xml:space="preserve">Le tableau </w:t>
      </w:r>
      <w:r w:rsidR="006D2B64" w:rsidRPr="006D2B64">
        <w:rPr>
          <w:noProof/>
          <w:lang w:eastAsia="fr-FR"/>
        </w:rPr>
        <w:t>4</w:t>
      </w:r>
      <w:r w:rsidR="007C5E6E">
        <w:rPr>
          <w:noProof/>
          <w:lang w:eastAsia="fr-FR"/>
        </w:rPr>
        <w:t>.</w:t>
      </w:r>
      <w:r w:rsidR="006D2B64" w:rsidRPr="006D2B64">
        <w:rPr>
          <w:noProof/>
          <w:lang w:eastAsia="fr-FR"/>
        </w:rPr>
        <w:t xml:space="preserve">7.1 </w:t>
      </w:r>
      <w:r w:rsidRPr="006D2B64">
        <w:rPr>
          <w:noProof/>
          <w:lang w:eastAsia="fr-FR"/>
        </w:rPr>
        <w:t>recapitule les dépenses par facteurs de prestation du paludisme.</w:t>
      </w:r>
    </w:p>
    <w:p w:rsidR="007C5E6E" w:rsidRDefault="00C81418">
      <w:pPr>
        <w:autoSpaceDE/>
        <w:autoSpaceDN/>
        <w:adjustRightInd/>
        <w:spacing w:after="200" w:line="276" w:lineRule="auto"/>
        <w:jc w:val="left"/>
        <w:rPr>
          <w:color w:val="000000" w:themeColor="text1"/>
          <w:sz w:val="22"/>
          <w:szCs w:val="22"/>
        </w:rPr>
      </w:pPr>
      <w:bookmarkStart w:id="70" w:name="_Toc483991276"/>
      <w:r w:rsidRPr="00947090">
        <w:rPr>
          <w:color w:val="000000" w:themeColor="text1"/>
          <w:sz w:val="22"/>
          <w:szCs w:val="22"/>
        </w:rPr>
        <w:t xml:space="preserve">Tableau </w:t>
      </w:r>
      <w:r w:rsidR="00E72F8E" w:rsidRPr="00947090">
        <w:rPr>
          <w:color w:val="000000" w:themeColor="text1"/>
          <w:sz w:val="22"/>
          <w:szCs w:val="22"/>
        </w:rPr>
        <w:fldChar w:fldCharType="begin"/>
      </w:r>
      <w:r w:rsidRPr="00947090">
        <w:rPr>
          <w:color w:val="000000" w:themeColor="text1"/>
          <w:sz w:val="22"/>
          <w:szCs w:val="22"/>
        </w:rPr>
        <w:instrText xml:space="preserve"> STYLEREF 2 \s </w:instrText>
      </w:r>
      <w:r w:rsidR="00E72F8E" w:rsidRPr="00947090">
        <w:rPr>
          <w:color w:val="000000" w:themeColor="text1"/>
          <w:sz w:val="22"/>
          <w:szCs w:val="22"/>
        </w:rPr>
        <w:fldChar w:fldCharType="separate"/>
      </w:r>
      <w:r w:rsidRPr="00947090">
        <w:rPr>
          <w:noProof/>
          <w:color w:val="000000" w:themeColor="text1"/>
          <w:sz w:val="22"/>
          <w:szCs w:val="22"/>
        </w:rPr>
        <w:t>4.7</w:t>
      </w:r>
      <w:r w:rsidR="00E72F8E" w:rsidRPr="00947090">
        <w:rPr>
          <w:color w:val="000000" w:themeColor="text1"/>
          <w:sz w:val="22"/>
          <w:szCs w:val="22"/>
        </w:rPr>
        <w:fldChar w:fldCharType="end"/>
      </w:r>
      <w:r w:rsidRPr="00947090">
        <w:rPr>
          <w:color w:val="000000" w:themeColor="text1"/>
          <w:sz w:val="22"/>
          <w:szCs w:val="22"/>
        </w:rPr>
        <w:t>.</w:t>
      </w:r>
      <w:r w:rsidR="00E72F8E" w:rsidRPr="00947090">
        <w:rPr>
          <w:color w:val="000000" w:themeColor="text1"/>
          <w:sz w:val="22"/>
          <w:szCs w:val="22"/>
        </w:rPr>
        <w:fldChar w:fldCharType="begin"/>
      </w:r>
      <w:r w:rsidRPr="00947090">
        <w:rPr>
          <w:color w:val="000000" w:themeColor="text1"/>
          <w:sz w:val="22"/>
          <w:szCs w:val="22"/>
        </w:rPr>
        <w:instrText xml:space="preserve"> SEQ Tableau \* ARABIC \s 2 </w:instrText>
      </w:r>
      <w:r w:rsidR="00E72F8E" w:rsidRPr="00947090">
        <w:rPr>
          <w:color w:val="000000" w:themeColor="text1"/>
          <w:sz w:val="22"/>
          <w:szCs w:val="22"/>
        </w:rPr>
        <w:fldChar w:fldCharType="separate"/>
      </w:r>
      <w:r w:rsidRPr="00947090">
        <w:rPr>
          <w:noProof/>
          <w:color w:val="000000" w:themeColor="text1"/>
          <w:sz w:val="22"/>
          <w:szCs w:val="22"/>
        </w:rPr>
        <w:t>1</w:t>
      </w:r>
      <w:r w:rsidR="00E72F8E" w:rsidRPr="00947090">
        <w:rPr>
          <w:color w:val="000000" w:themeColor="text1"/>
          <w:sz w:val="22"/>
          <w:szCs w:val="22"/>
        </w:rPr>
        <w:fldChar w:fldCharType="end"/>
      </w:r>
      <w:r w:rsidRPr="00947090">
        <w:rPr>
          <w:color w:val="000000" w:themeColor="text1"/>
          <w:sz w:val="22"/>
          <w:szCs w:val="22"/>
          <w:lang w:eastAsia="fr-FR"/>
        </w:rPr>
        <w:t>: Répartition des dépenses du paludisme par facteur de prestation (en million de FCFA)</w:t>
      </w:r>
      <w:bookmarkEnd w:id="70"/>
    </w:p>
    <w:tbl>
      <w:tblPr>
        <w:tblW w:w="5000" w:type="pct"/>
        <w:tblCellMar>
          <w:left w:w="70" w:type="dxa"/>
          <w:right w:w="70" w:type="dxa"/>
        </w:tblCellMar>
        <w:tblLook w:val="04A0"/>
      </w:tblPr>
      <w:tblGrid>
        <w:gridCol w:w="935"/>
        <w:gridCol w:w="648"/>
        <w:gridCol w:w="1012"/>
        <w:gridCol w:w="1011"/>
        <w:gridCol w:w="890"/>
        <w:gridCol w:w="847"/>
        <w:gridCol w:w="847"/>
        <w:gridCol w:w="847"/>
        <w:gridCol w:w="847"/>
        <w:gridCol w:w="847"/>
        <w:gridCol w:w="815"/>
      </w:tblGrid>
      <w:tr w:rsidR="00F46A0C" w:rsidRPr="00F46A0C" w:rsidTr="00F46A0C">
        <w:trPr>
          <w:trHeight w:val="525"/>
        </w:trPr>
        <w:tc>
          <w:tcPr>
            <w:tcW w:w="2364"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Facteurs de prestation </w:t>
            </w:r>
          </w:p>
        </w:tc>
        <w:tc>
          <w:tcPr>
            <w:tcW w:w="2199" w:type="pct"/>
            <w:gridSpan w:val="5"/>
            <w:tcBorders>
              <w:top w:val="single" w:sz="8" w:space="0" w:color="auto"/>
              <w:left w:val="nil"/>
              <w:bottom w:val="single" w:sz="8" w:space="0" w:color="auto"/>
              <w:right w:val="single" w:sz="8" w:space="0" w:color="000000"/>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Dépenses</w:t>
            </w:r>
          </w:p>
        </w:tc>
        <w:tc>
          <w:tcPr>
            <w:tcW w:w="437" w:type="pct"/>
            <w:tcBorders>
              <w:top w:val="single" w:sz="8" w:space="0" w:color="auto"/>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w:t>
            </w:r>
          </w:p>
        </w:tc>
      </w:tr>
      <w:tr w:rsidR="00F46A0C" w:rsidRPr="00F46A0C" w:rsidTr="00F46A0C">
        <w:trPr>
          <w:trHeight w:val="525"/>
        </w:trPr>
        <w:tc>
          <w:tcPr>
            <w:tcW w:w="492" w:type="pct"/>
            <w:vMerge w:val="restart"/>
            <w:tcBorders>
              <w:top w:val="nil"/>
              <w:left w:val="single" w:sz="8" w:space="0" w:color="auto"/>
              <w:bottom w:val="single" w:sz="8" w:space="0" w:color="000000"/>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r w:rsidRPr="00F46A0C">
              <w:rPr>
                <w:rFonts w:eastAsia="Times New Roman"/>
                <w:b/>
                <w:sz w:val="20"/>
                <w:szCs w:val="20"/>
                <w:lang w:eastAsia="fr-FR"/>
              </w:rPr>
              <w:t>Rémunération des employés</w:t>
            </w:r>
          </w:p>
        </w:tc>
        <w:tc>
          <w:tcPr>
            <w:tcW w:w="3183" w:type="pct"/>
            <w:gridSpan w:val="7"/>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r w:rsidRPr="00F46A0C">
              <w:rPr>
                <w:rFonts w:eastAsia="Times New Roman"/>
                <w:bCs w:val="0"/>
                <w:i/>
                <w:iCs/>
                <w:sz w:val="20"/>
                <w:szCs w:val="20"/>
                <w:lang w:eastAsia="fr-FR"/>
              </w:rPr>
              <w:t>Traitements et salaires</w:t>
            </w:r>
          </w:p>
        </w:tc>
        <w:tc>
          <w:tcPr>
            <w:tcW w:w="451"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i/>
                <w:iCs/>
                <w:sz w:val="20"/>
                <w:szCs w:val="20"/>
                <w:lang w:eastAsia="fr-FR"/>
              </w:rPr>
            </w:pPr>
            <w:r w:rsidRPr="00F46A0C">
              <w:rPr>
                <w:rFonts w:eastAsia="Times New Roman"/>
                <w:bCs w:val="0"/>
                <w:i/>
                <w:iCs/>
                <w:sz w:val="20"/>
                <w:szCs w:val="20"/>
                <w:lang w:eastAsia="fr-FR"/>
              </w:rPr>
              <w:t xml:space="preserve">          41 150   </w:t>
            </w:r>
          </w:p>
        </w:tc>
        <w:tc>
          <w:tcPr>
            <w:tcW w:w="43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         41 179   </w:t>
            </w:r>
          </w:p>
        </w:tc>
        <w:tc>
          <w:tcPr>
            <w:tcW w:w="43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            33,91   </w:t>
            </w:r>
          </w:p>
        </w:tc>
      </w:tr>
      <w:tr w:rsidR="00F46A0C" w:rsidRPr="00F46A0C" w:rsidTr="00F46A0C">
        <w:trPr>
          <w:trHeight w:val="780"/>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183" w:type="pct"/>
            <w:gridSpan w:val="7"/>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center"/>
              <w:rPr>
                <w:rFonts w:eastAsia="Times New Roman"/>
                <w:bCs w:val="0"/>
                <w:i/>
                <w:iCs/>
                <w:sz w:val="20"/>
                <w:szCs w:val="20"/>
                <w:lang w:eastAsia="fr-FR"/>
              </w:rPr>
            </w:pPr>
            <w:r w:rsidRPr="00F46A0C">
              <w:rPr>
                <w:rFonts w:eastAsia="Times New Roman"/>
                <w:bCs w:val="0"/>
                <w:i/>
                <w:iCs/>
                <w:sz w:val="20"/>
                <w:szCs w:val="20"/>
                <w:lang w:eastAsia="fr-FR"/>
              </w:rPr>
              <w:t>Tous autres coûts relatifs aux employés</w:t>
            </w:r>
          </w:p>
        </w:tc>
        <w:tc>
          <w:tcPr>
            <w:tcW w:w="451"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i/>
                <w:iCs/>
                <w:sz w:val="20"/>
                <w:szCs w:val="20"/>
                <w:lang w:eastAsia="fr-FR"/>
              </w:rPr>
            </w:pPr>
            <w:r w:rsidRPr="00F46A0C">
              <w:rPr>
                <w:rFonts w:eastAsia="Times New Roman"/>
                <w:bCs w:val="0"/>
                <w:i/>
                <w:iCs/>
                <w:sz w:val="20"/>
                <w:szCs w:val="20"/>
                <w:lang w:eastAsia="fr-FR"/>
              </w:rPr>
              <w:t xml:space="preserve">                  29   </w:t>
            </w: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525"/>
        </w:trPr>
        <w:tc>
          <w:tcPr>
            <w:tcW w:w="4126"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r w:rsidRPr="00F46A0C">
              <w:rPr>
                <w:rFonts w:eastAsia="Times New Roman"/>
                <w:b/>
                <w:sz w:val="20"/>
                <w:szCs w:val="20"/>
                <w:lang w:eastAsia="fr-FR"/>
              </w:rPr>
              <w:t>Rémunération des professionnels particuliers</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               119   </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              0,10   </w:t>
            </w:r>
          </w:p>
        </w:tc>
      </w:tr>
      <w:tr w:rsidR="00F46A0C" w:rsidRPr="00F46A0C" w:rsidTr="00F46A0C">
        <w:trPr>
          <w:trHeight w:val="780"/>
        </w:trPr>
        <w:tc>
          <w:tcPr>
            <w:tcW w:w="492" w:type="pct"/>
            <w:vMerge w:val="restart"/>
            <w:tcBorders>
              <w:top w:val="nil"/>
              <w:left w:val="single" w:sz="8" w:space="0" w:color="auto"/>
              <w:bottom w:val="single" w:sz="8" w:space="0" w:color="000000"/>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r w:rsidRPr="00F46A0C">
              <w:rPr>
                <w:rFonts w:eastAsia="Times New Roman"/>
                <w:b/>
                <w:sz w:val="20"/>
                <w:szCs w:val="20"/>
                <w:lang w:eastAsia="fr-FR"/>
              </w:rPr>
              <w:t>Equipements et services utilisés</w:t>
            </w:r>
          </w:p>
        </w:tc>
        <w:tc>
          <w:tcPr>
            <w:tcW w:w="333" w:type="pct"/>
            <w:vMerge w:val="restart"/>
            <w:tcBorders>
              <w:top w:val="nil"/>
              <w:left w:val="single" w:sz="8" w:space="0" w:color="auto"/>
              <w:bottom w:val="single" w:sz="8" w:space="0" w:color="000000"/>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r w:rsidRPr="00F46A0C">
              <w:rPr>
                <w:rFonts w:eastAsia="Times New Roman"/>
                <w:bCs w:val="0"/>
                <w:i/>
                <w:iCs/>
                <w:sz w:val="20"/>
                <w:szCs w:val="20"/>
                <w:lang w:eastAsia="fr-FR"/>
              </w:rPr>
              <w:t>Services de soins de santé</w:t>
            </w:r>
          </w:p>
        </w:tc>
        <w:tc>
          <w:tcPr>
            <w:tcW w:w="2413" w:type="pct"/>
            <w:gridSpan w:val="5"/>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Service de laboratoire et d'imagerie</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150   </w:t>
            </w:r>
          </w:p>
        </w:tc>
        <w:tc>
          <w:tcPr>
            <w:tcW w:w="45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i/>
                <w:iCs/>
                <w:sz w:val="20"/>
                <w:szCs w:val="20"/>
                <w:lang w:eastAsia="fr-FR"/>
              </w:rPr>
            </w:pPr>
            <w:r w:rsidRPr="00F46A0C">
              <w:rPr>
                <w:rFonts w:eastAsia="Times New Roman"/>
                <w:bCs w:val="0"/>
                <w:i/>
                <w:iCs/>
                <w:sz w:val="20"/>
                <w:szCs w:val="20"/>
                <w:lang w:eastAsia="fr-FR"/>
              </w:rPr>
              <w:t xml:space="preserve">               240   </w:t>
            </w:r>
          </w:p>
        </w:tc>
        <w:tc>
          <w:tcPr>
            <w:tcW w:w="43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         80 128   </w:t>
            </w:r>
          </w:p>
        </w:tc>
        <w:tc>
          <w:tcPr>
            <w:tcW w:w="43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            65,98   </w:t>
            </w:r>
          </w:p>
        </w:tc>
      </w:tr>
      <w:tr w:rsidR="00F46A0C" w:rsidRPr="00F46A0C" w:rsidTr="00F46A0C">
        <w:trPr>
          <w:trHeight w:val="1290"/>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2413" w:type="pct"/>
            <w:gridSpan w:val="5"/>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Autres services de soins de santé (n.c.a.)</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90   </w:t>
            </w:r>
          </w:p>
        </w:tc>
        <w:tc>
          <w:tcPr>
            <w:tcW w:w="451"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780"/>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val="restart"/>
            <w:tcBorders>
              <w:top w:val="nil"/>
              <w:left w:val="single" w:sz="8" w:space="0" w:color="auto"/>
              <w:bottom w:val="single" w:sz="8" w:space="0" w:color="000000"/>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r w:rsidRPr="00F46A0C">
              <w:rPr>
                <w:rFonts w:eastAsia="Times New Roman"/>
                <w:bCs w:val="0"/>
                <w:i/>
                <w:iCs/>
                <w:sz w:val="20"/>
                <w:szCs w:val="20"/>
                <w:lang w:eastAsia="fr-FR"/>
              </w:rPr>
              <w:t>Biens de santé</w:t>
            </w:r>
          </w:p>
        </w:tc>
        <w:tc>
          <w:tcPr>
            <w:tcW w:w="535" w:type="pct"/>
            <w:vMerge w:val="restart"/>
            <w:tcBorders>
              <w:top w:val="nil"/>
              <w:left w:val="single" w:sz="8" w:space="0" w:color="auto"/>
              <w:bottom w:val="single" w:sz="8" w:space="0" w:color="000000"/>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Produits pharmaceutiques</w:t>
            </w:r>
          </w:p>
        </w:tc>
        <w:tc>
          <w:tcPr>
            <w:tcW w:w="535" w:type="pct"/>
            <w:vMerge w:val="restart"/>
            <w:tcBorders>
              <w:top w:val="nil"/>
              <w:left w:val="single" w:sz="8" w:space="0" w:color="auto"/>
              <w:bottom w:val="single" w:sz="8" w:space="0" w:color="000000"/>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Antipaludiques</w:t>
            </w:r>
          </w:p>
        </w:tc>
        <w:tc>
          <w:tcPr>
            <w:tcW w:w="468" w:type="pct"/>
            <w:tcBorders>
              <w:top w:val="nil"/>
              <w:left w:val="nil"/>
              <w:bottom w:val="single" w:sz="8" w:space="0" w:color="auto"/>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ACT</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eastAsia="Times New Roman"/>
                <w:bCs w:val="0"/>
                <w:sz w:val="20"/>
                <w:szCs w:val="20"/>
                <w:lang w:eastAsia="fr-FR"/>
              </w:rPr>
            </w:pPr>
            <w:r w:rsidRPr="00F46A0C">
              <w:rPr>
                <w:rFonts w:eastAsia="Times New Roman"/>
                <w:bCs w:val="0"/>
                <w:sz w:val="20"/>
                <w:szCs w:val="20"/>
                <w:lang w:eastAsia="fr-FR"/>
              </w:rPr>
              <w:t xml:space="preserve">           24 860   </w:t>
            </w:r>
          </w:p>
        </w:tc>
        <w:tc>
          <w:tcPr>
            <w:tcW w:w="43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34 734   </w:t>
            </w:r>
          </w:p>
        </w:tc>
        <w:tc>
          <w:tcPr>
            <w:tcW w:w="43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34 734   </w:t>
            </w:r>
          </w:p>
        </w:tc>
        <w:tc>
          <w:tcPr>
            <w:tcW w:w="45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i/>
                <w:iCs/>
                <w:sz w:val="20"/>
                <w:szCs w:val="20"/>
                <w:lang w:eastAsia="fr-FR"/>
              </w:rPr>
            </w:pPr>
            <w:r w:rsidRPr="00F46A0C">
              <w:rPr>
                <w:rFonts w:eastAsia="Times New Roman"/>
                <w:bCs w:val="0"/>
                <w:i/>
                <w:iCs/>
                <w:sz w:val="20"/>
                <w:szCs w:val="20"/>
                <w:lang w:eastAsia="fr-FR"/>
              </w:rPr>
              <w:t xml:space="preserve">          72 875   </w:t>
            </w: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780"/>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535"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p>
        </w:tc>
        <w:tc>
          <w:tcPr>
            <w:tcW w:w="535"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p>
        </w:tc>
        <w:tc>
          <w:tcPr>
            <w:tcW w:w="468" w:type="pct"/>
            <w:tcBorders>
              <w:top w:val="nil"/>
              <w:left w:val="nil"/>
              <w:bottom w:val="single" w:sz="8" w:space="0" w:color="auto"/>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Autres antipaludiques</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eastAsia="Times New Roman"/>
                <w:bCs w:val="0"/>
                <w:sz w:val="20"/>
                <w:szCs w:val="20"/>
                <w:lang w:eastAsia="fr-FR"/>
              </w:rPr>
            </w:pPr>
            <w:r w:rsidRPr="00F46A0C">
              <w:rPr>
                <w:rFonts w:eastAsia="Times New Roman"/>
                <w:bCs w:val="0"/>
                <w:sz w:val="20"/>
                <w:szCs w:val="20"/>
                <w:lang w:eastAsia="fr-FR"/>
              </w:rPr>
              <w:t xml:space="preserve">             9 873   </w:t>
            </w: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p>
        </w:tc>
        <w:tc>
          <w:tcPr>
            <w:tcW w:w="451"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1035"/>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535"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p>
        </w:tc>
        <w:tc>
          <w:tcPr>
            <w:tcW w:w="535" w:type="pct"/>
            <w:tcBorders>
              <w:top w:val="nil"/>
              <w:left w:val="nil"/>
              <w:bottom w:val="single" w:sz="8" w:space="0" w:color="auto"/>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Autres produits pharmaceutiques (n.c.a.)</w:t>
            </w:r>
          </w:p>
        </w:tc>
        <w:tc>
          <w:tcPr>
            <w:tcW w:w="468" w:type="pct"/>
            <w:tcBorders>
              <w:top w:val="nil"/>
              <w:left w:val="nil"/>
              <w:bottom w:val="single" w:sz="8" w:space="0" w:color="auto"/>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 </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eastAsia="Times New Roman"/>
                <w:bCs w:val="0"/>
                <w:sz w:val="20"/>
                <w:szCs w:val="20"/>
                <w:lang w:eastAsia="fr-FR"/>
              </w:rPr>
            </w:pPr>
            <w:r w:rsidRPr="00F46A0C">
              <w:rPr>
                <w:rFonts w:eastAsia="Times New Roman"/>
                <w:bCs w:val="0"/>
                <w:sz w:val="20"/>
                <w:szCs w:val="20"/>
                <w:lang w:eastAsia="fr-FR"/>
              </w:rPr>
              <w:t> </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eastAsia="Times New Roman"/>
                <w:bCs w:val="0"/>
                <w:sz w:val="20"/>
                <w:szCs w:val="20"/>
                <w:lang w:eastAsia="fr-FR"/>
              </w:rPr>
            </w:pPr>
            <w:r w:rsidRPr="00F46A0C">
              <w:rPr>
                <w:rFonts w:eastAsia="Times New Roman"/>
                <w:bCs w:val="0"/>
                <w:sz w:val="20"/>
                <w:szCs w:val="20"/>
                <w:lang w:eastAsia="fr-FR"/>
              </w:rPr>
              <w:t> </w:t>
            </w: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p>
        </w:tc>
        <w:tc>
          <w:tcPr>
            <w:tcW w:w="451"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1035"/>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535" w:type="pct"/>
            <w:vMerge w:val="restart"/>
            <w:tcBorders>
              <w:top w:val="nil"/>
              <w:left w:val="single" w:sz="8" w:space="0" w:color="auto"/>
              <w:bottom w:val="single" w:sz="8" w:space="0" w:color="000000"/>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Autres produits de santé</w:t>
            </w:r>
          </w:p>
        </w:tc>
        <w:tc>
          <w:tcPr>
            <w:tcW w:w="1441" w:type="pct"/>
            <w:gridSpan w:val="3"/>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MII</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18 391   </w:t>
            </w:r>
          </w:p>
        </w:tc>
        <w:tc>
          <w:tcPr>
            <w:tcW w:w="43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38 142   </w:t>
            </w:r>
          </w:p>
        </w:tc>
        <w:tc>
          <w:tcPr>
            <w:tcW w:w="451"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525"/>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535"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p>
        </w:tc>
        <w:tc>
          <w:tcPr>
            <w:tcW w:w="1441" w:type="pct"/>
            <w:gridSpan w:val="3"/>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Matériels de diagnostique</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19 750   </w:t>
            </w: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p>
        </w:tc>
        <w:tc>
          <w:tcPr>
            <w:tcW w:w="451"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1545"/>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535"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p>
        </w:tc>
        <w:tc>
          <w:tcPr>
            <w:tcW w:w="1441" w:type="pct"/>
            <w:gridSpan w:val="3"/>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Autres produits de santé et produits non spécifiés (n.c.a.)</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w:t>
            </w: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p>
        </w:tc>
        <w:tc>
          <w:tcPr>
            <w:tcW w:w="451"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525"/>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val="restart"/>
            <w:tcBorders>
              <w:top w:val="nil"/>
              <w:left w:val="single" w:sz="8" w:space="0" w:color="auto"/>
              <w:bottom w:val="single" w:sz="8" w:space="0" w:color="000000"/>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r w:rsidRPr="00F46A0C">
              <w:rPr>
                <w:rFonts w:eastAsia="Times New Roman"/>
                <w:bCs w:val="0"/>
                <w:i/>
                <w:iCs/>
                <w:sz w:val="20"/>
                <w:szCs w:val="20"/>
                <w:lang w:eastAsia="fr-FR"/>
              </w:rPr>
              <w:t>Services non sanitaires</w:t>
            </w:r>
          </w:p>
        </w:tc>
        <w:tc>
          <w:tcPr>
            <w:tcW w:w="2413" w:type="pct"/>
            <w:gridSpan w:val="5"/>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Training / Formation</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793   </w:t>
            </w:r>
          </w:p>
        </w:tc>
        <w:tc>
          <w:tcPr>
            <w:tcW w:w="45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i/>
                <w:iCs/>
                <w:sz w:val="20"/>
                <w:szCs w:val="20"/>
                <w:lang w:eastAsia="fr-FR"/>
              </w:rPr>
            </w:pPr>
            <w:r w:rsidRPr="00F46A0C">
              <w:rPr>
                <w:rFonts w:eastAsia="Times New Roman"/>
                <w:bCs w:val="0"/>
                <w:i/>
                <w:iCs/>
                <w:sz w:val="20"/>
                <w:szCs w:val="20"/>
                <w:lang w:eastAsia="fr-FR"/>
              </w:rPr>
              <w:t xml:space="preserve">            3 205   </w:t>
            </w: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525"/>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2413" w:type="pct"/>
            <w:gridSpan w:val="5"/>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Assistance technique</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46   </w:t>
            </w:r>
          </w:p>
        </w:tc>
        <w:tc>
          <w:tcPr>
            <w:tcW w:w="451"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525"/>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2413" w:type="pct"/>
            <w:gridSpan w:val="5"/>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sz w:val="20"/>
                <w:szCs w:val="20"/>
                <w:lang w:eastAsia="fr-FR"/>
              </w:rPr>
            </w:pPr>
            <w:r w:rsidRPr="00F46A0C">
              <w:rPr>
                <w:rFonts w:eastAsia="Times New Roman"/>
                <w:bCs w:val="0"/>
                <w:sz w:val="20"/>
                <w:szCs w:val="20"/>
                <w:lang w:eastAsia="fr-FR"/>
              </w:rPr>
              <w:t>Recherche opérationnelle</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108   </w:t>
            </w:r>
          </w:p>
        </w:tc>
        <w:tc>
          <w:tcPr>
            <w:tcW w:w="451"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780"/>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33"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2413" w:type="pct"/>
            <w:gridSpan w:val="5"/>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Autres services non sanitaires (n.c.a.)</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sz w:val="20"/>
                <w:szCs w:val="20"/>
                <w:lang w:eastAsia="fr-FR"/>
              </w:rPr>
            </w:pPr>
            <w:r w:rsidRPr="00F46A0C">
              <w:rPr>
                <w:rFonts w:eastAsia="Times New Roman"/>
                <w:bCs w:val="0"/>
                <w:sz w:val="20"/>
                <w:szCs w:val="20"/>
                <w:lang w:eastAsia="fr-FR"/>
              </w:rPr>
              <w:t xml:space="preserve">             2 258   </w:t>
            </w:r>
          </w:p>
        </w:tc>
        <w:tc>
          <w:tcPr>
            <w:tcW w:w="451"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525"/>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183" w:type="pct"/>
            <w:gridSpan w:val="7"/>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r w:rsidRPr="00F46A0C">
              <w:rPr>
                <w:rFonts w:eastAsia="Times New Roman"/>
                <w:bCs w:val="0"/>
                <w:i/>
                <w:iCs/>
                <w:sz w:val="20"/>
                <w:szCs w:val="20"/>
                <w:lang w:eastAsia="fr-FR"/>
              </w:rPr>
              <w:t>Biens non sanitaire</w:t>
            </w:r>
          </w:p>
        </w:tc>
        <w:tc>
          <w:tcPr>
            <w:tcW w:w="451"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i/>
                <w:iCs/>
                <w:sz w:val="20"/>
                <w:szCs w:val="20"/>
                <w:lang w:eastAsia="fr-FR"/>
              </w:rPr>
            </w:pPr>
            <w:r w:rsidRPr="00F46A0C">
              <w:rPr>
                <w:rFonts w:eastAsia="Times New Roman"/>
                <w:bCs w:val="0"/>
                <w:i/>
                <w:iCs/>
                <w:sz w:val="20"/>
                <w:szCs w:val="20"/>
                <w:lang w:eastAsia="fr-FR"/>
              </w:rPr>
              <w:t xml:space="preserve">            3 803   </w:t>
            </w: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525"/>
        </w:trPr>
        <w:tc>
          <w:tcPr>
            <w:tcW w:w="492"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3183" w:type="pct"/>
            <w:gridSpan w:val="7"/>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r w:rsidRPr="00F46A0C">
              <w:rPr>
                <w:rFonts w:eastAsia="Times New Roman"/>
                <w:bCs w:val="0"/>
                <w:i/>
                <w:iCs/>
                <w:sz w:val="20"/>
                <w:szCs w:val="20"/>
                <w:lang w:eastAsia="fr-FR"/>
              </w:rPr>
              <w:t>Autres équipements et services utilisés (n.c.a.)</w:t>
            </w:r>
          </w:p>
        </w:tc>
        <w:tc>
          <w:tcPr>
            <w:tcW w:w="451"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i/>
                <w:iCs/>
                <w:sz w:val="20"/>
                <w:szCs w:val="20"/>
                <w:lang w:eastAsia="fr-FR"/>
              </w:rPr>
            </w:pPr>
            <w:r w:rsidRPr="00F46A0C">
              <w:rPr>
                <w:rFonts w:eastAsia="Times New Roman"/>
                <w:bCs w:val="0"/>
                <w:i/>
                <w:iCs/>
                <w:sz w:val="20"/>
                <w:szCs w:val="20"/>
                <w:lang w:eastAsia="fr-FR"/>
              </w:rPr>
              <w:t xml:space="preserve">                    5   </w:t>
            </w: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c>
          <w:tcPr>
            <w:tcW w:w="437" w:type="pct"/>
            <w:vMerge/>
            <w:tcBorders>
              <w:top w:val="nil"/>
              <w:left w:val="single" w:sz="8" w:space="0" w:color="auto"/>
              <w:bottom w:val="single" w:sz="8" w:space="0" w:color="000000"/>
              <w:right w:val="single" w:sz="8" w:space="0" w:color="auto"/>
            </w:tcBorders>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p>
        </w:tc>
      </w:tr>
      <w:tr w:rsidR="00F46A0C" w:rsidRPr="00F46A0C" w:rsidTr="00F46A0C">
        <w:trPr>
          <w:trHeight w:val="1290"/>
        </w:trPr>
        <w:tc>
          <w:tcPr>
            <w:tcW w:w="492" w:type="pct"/>
            <w:tcBorders>
              <w:top w:val="nil"/>
              <w:left w:val="single" w:sz="8" w:space="0" w:color="auto"/>
              <w:bottom w:val="single" w:sz="8" w:space="0" w:color="auto"/>
              <w:right w:val="single" w:sz="8"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r w:rsidRPr="00F46A0C">
              <w:rPr>
                <w:rFonts w:eastAsia="Times New Roman"/>
                <w:b/>
                <w:sz w:val="20"/>
                <w:szCs w:val="20"/>
                <w:lang w:eastAsia="fr-FR"/>
              </w:rPr>
              <w:t>Autres rubriques de dépenses en ressources (entrées)</w:t>
            </w:r>
          </w:p>
        </w:tc>
        <w:tc>
          <w:tcPr>
            <w:tcW w:w="3183" w:type="pct"/>
            <w:gridSpan w:val="7"/>
            <w:tcBorders>
              <w:top w:val="single" w:sz="8" w:space="0" w:color="auto"/>
              <w:left w:val="nil"/>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Cs w:val="0"/>
                <w:i/>
                <w:iCs/>
                <w:sz w:val="20"/>
                <w:szCs w:val="20"/>
                <w:lang w:eastAsia="fr-FR"/>
              </w:rPr>
            </w:pPr>
            <w:r w:rsidRPr="00F46A0C">
              <w:rPr>
                <w:rFonts w:eastAsia="Times New Roman"/>
                <w:bCs w:val="0"/>
                <w:i/>
                <w:iCs/>
                <w:sz w:val="20"/>
                <w:szCs w:val="20"/>
                <w:lang w:eastAsia="fr-FR"/>
              </w:rPr>
              <w:t>Autres rubriques de dépenses</w:t>
            </w:r>
          </w:p>
        </w:tc>
        <w:tc>
          <w:tcPr>
            <w:tcW w:w="451"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Cs w:val="0"/>
                <w:i/>
                <w:iCs/>
                <w:sz w:val="20"/>
                <w:szCs w:val="20"/>
                <w:lang w:eastAsia="fr-FR"/>
              </w:rPr>
            </w:pPr>
            <w:r w:rsidRPr="00F46A0C">
              <w:rPr>
                <w:rFonts w:eastAsia="Times New Roman"/>
                <w:bCs w:val="0"/>
                <w:i/>
                <w:iCs/>
                <w:sz w:val="20"/>
                <w:szCs w:val="20"/>
                <w:lang w:eastAsia="fr-FR"/>
              </w:rPr>
              <w:t xml:space="preserve">                    3   </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                    3   </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              0,00   </w:t>
            </w:r>
          </w:p>
        </w:tc>
      </w:tr>
      <w:tr w:rsidR="00F46A0C" w:rsidRPr="00F46A0C" w:rsidTr="00F46A0C">
        <w:trPr>
          <w:trHeight w:val="510"/>
        </w:trPr>
        <w:tc>
          <w:tcPr>
            <w:tcW w:w="4126"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r w:rsidRPr="00F46A0C">
              <w:rPr>
                <w:rFonts w:eastAsia="Times New Roman"/>
                <w:b/>
                <w:sz w:val="20"/>
                <w:szCs w:val="20"/>
                <w:lang w:eastAsia="fr-FR"/>
              </w:rPr>
              <w:t>Facteurs de prestation de soins de santé non spécifiés (n.c.a.)</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                 14   </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 xml:space="preserve">              0,01   </w:t>
            </w:r>
          </w:p>
        </w:tc>
      </w:tr>
      <w:tr w:rsidR="00F46A0C" w:rsidRPr="00F46A0C" w:rsidTr="00F46A0C">
        <w:trPr>
          <w:trHeight w:val="525"/>
        </w:trPr>
        <w:tc>
          <w:tcPr>
            <w:tcW w:w="4126"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6A0C" w:rsidRPr="00F46A0C" w:rsidRDefault="00F46A0C" w:rsidP="00F46A0C">
            <w:pPr>
              <w:autoSpaceDE/>
              <w:autoSpaceDN/>
              <w:adjustRightInd/>
              <w:spacing w:after="0" w:line="240" w:lineRule="auto"/>
              <w:jc w:val="left"/>
              <w:rPr>
                <w:rFonts w:eastAsia="Times New Roman"/>
                <w:b/>
                <w:sz w:val="20"/>
                <w:szCs w:val="20"/>
                <w:lang w:eastAsia="fr-FR"/>
              </w:rPr>
            </w:pPr>
            <w:r w:rsidRPr="00F46A0C">
              <w:rPr>
                <w:rFonts w:eastAsia="Times New Roman"/>
                <w:b/>
                <w:sz w:val="20"/>
                <w:szCs w:val="20"/>
                <w:lang w:eastAsia="fr-FR"/>
              </w:rPr>
              <w:t>Total</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eastAsia="Times New Roman"/>
                <w:b/>
                <w:sz w:val="20"/>
                <w:szCs w:val="20"/>
                <w:lang w:eastAsia="fr-FR"/>
              </w:rPr>
            </w:pPr>
            <w:r w:rsidRPr="00F46A0C">
              <w:rPr>
                <w:rFonts w:eastAsia="Times New Roman"/>
                <w:b/>
                <w:sz w:val="20"/>
                <w:szCs w:val="20"/>
                <w:lang w:eastAsia="fr-FR"/>
              </w:rPr>
              <w:t>121 443,17</w:t>
            </w:r>
          </w:p>
        </w:tc>
        <w:tc>
          <w:tcPr>
            <w:tcW w:w="437" w:type="pct"/>
            <w:tcBorders>
              <w:top w:val="nil"/>
              <w:left w:val="nil"/>
              <w:bottom w:val="single" w:sz="8" w:space="0" w:color="auto"/>
              <w:right w:val="single" w:sz="8"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eastAsia="Times New Roman"/>
                <w:b/>
                <w:sz w:val="20"/>
                <w:szCs w:val="20"/>
                <w:lang w:eastAsia="fr-FR"/>
              </w:rPr>
            </w:pPr>
            <w:r w:rsidRPr="00F46A0C">
              <w:rPr>
                <w:rFonts w:eastAsia="Times New Roman"/>
                <w:b/>
                <w:sz w:val="20"/>
                <w:szCs w:val="20"/>
                <w:lang w:eastAsia="fr-FR"/>
              </w:rPr>
              <w:t>100</w:t>
            </w:r>
          </w:p>
        </w:tc>
      </w:tr>
    </w:tbl>
    <w:p w:rsidR="00BA4FCD" w:rsidRDefault="00BA4FCD">
      <w:pPr>
        <w:autoSpaceDE/>
        <w:autoSpaceDN/>
        <w:adjustRightInd/>
        <w:spacing w:after="200" w:line="276" w:lineRule="auto"/>
        <w:jc w:val="left"/>
        <w:rPr>
          <w:i/>
          <w:iCs/>
          <w:color w:val="000000" w:themeColor="text1"/>
          <w:sz w:val="22"/>
          <w:szCs w:val="22"/>
        </w:rPr>
      </w:pPr>
      <w:r>
        <w:rPr>
          <w:color w:val="000000" w:themeColor="text1"/>
          <w:sz w:val="22"/>
          <w:szCs w:val="22"/>
        </w:rPr>
        <w:br w:type="page"/>
      </w:r>
    </w:p>
    <w:p w:rsidR="00E22A08" w:rsidRPr="000161BF" w:rsidRDefault="00BA4FCD" w:rsidP="00587784">
      <w:pPr>
        <w:spacing w:line="312" w:lineRule="auto"/>
        <w:rPr>
          <w:lang w:eastAsia="fr-FR"/>
        </w:rPr>
      </w:pPr>
      <w:r>
        <w:rPr>
          <w:lang w:eastAsia="fr-FR"/>
        </w:rPr>
        <w:t xml:space="preserve">Dans ce tableau 4.7.1, </w:t>
      </w:r>
      <w:r w:rsidR="00E22A08" w:rsidRPr="000161BF">
        <w:rPr>
          <w:lang w:eastAsia="fr-FR"/>
        </w:rPr>
        <w:t xml:space="preserve">ce sont les équipements et services utilisés qui occupent le premier poste de dépenses avec </w:t>
      </w:r>
      <w:r w:rsidR="00C81418">
        <w:rPr>
          <w:lang w:eastAsia="fr-FR"/>
        </w:rPr>
        <w:t>65,42</w:t>
      </w:r>
      <w:r w:rsidR="00E22A08" w:rsidRPr="000161BF">
        <w:rPr>
          <w:lang w:eastAsia="fr-FR"/>
        </w:rPr>
        <w:t>%</w:t>
      </w:r>
      <w:r w:rsidR="00AC0265">
        <w:rPr>
          <w:lang w:eastAsia="fr-FR"/>
        </w:rPr>
        <w:t xml:space="preserve"> du total</w:t>
      </w:r>
      <w:r w:rsidR="00E22A08" w:rsidRPr="000161BF">
        <w:rPr>
          <w:lang w:eastAsia="fr-FR"/>
        </w:rPr>
        <w:t>. Dans ce</w:t>
      </w:r>
      <w:r w:rsidR="00AC0265">
        <w:rPr>
          <w:lang w:eastAsia="fr-FR"/>
        </w:rPr>
        <w:t>s dépenses</w:t>
      </w:r>
      <w:r w:rsidR="00E22A08" w:rsidRPr="000161BF">
        <w:rPr>
          <w:lang w:eastAsia="fr-FR"/>
        </w:rPr>
        <w:t xml:space="preserve">, les produits pharmaceutiques représentent </w:t>
      </w:r>
      <w:r w:rsidR="00AC0265">
        <w:rPr>
          <w:lang w:eastAsia="fr-FR"/>
        </w:rPr>
        <w:t>à eux seuls</w:t>
      </w:r>
      <w:r w:rsidR="00B32172">
        <w:rPr>
          <w:lang w:eastAsia="fr-FR"/>
        </w:rPr>
        <w:t xml:space="preserve"> </w:t>
      </w:r>
      <w:r w:rsidR="00AC0265">
        <w:rPr>
          <w:lang w:eastAsia="fr-FR"/>
        </w:rPr>
        <w:t xml:space="preserve">plus de 44,59 </w:t>
      </w:r>
      <w:r w:rsidR="00E22A08" w:rsidRPr="000161BF">
        <w:rPr>
          <w:lang w:eastAsia="fr-FR"/>
        </w:rPr>
        <w:t>%</w:t>
      </w:r>
      <w:r w:rsidR="00AC0265">
        <w:rPr>
          <w:lang w:eastAsia="fr-FR"/>
        </w:rPr>
        <w:t xml:space="preserve"> des biens de santé</w:t>
      </w:r>
      <w:r w:rsidR="00E22A08" w:rsidRPr="000161BF">
        <w:rPr>
          <w:lang w:eastAsia="fr-FR"/>
        </w:rPr>
        <w:t>.</w:t>
      </w:r>
    </w:p>
    <w:p w:rsidR="00BB08A2" w:rsidRDefault="00E22A08" w:rsidP="00956234">
      <w:pPr>
        <w:spacing w:line="312" w:lineRule="auto"/>
        <w:rPr>
          <w:lang w:eastAsia="fr-FR"/>
        </w:rPr>
      </w:pPr>
      <w:r w:rsidRPr="000161BF">
        <w:rPr>
          <w:lang w:eastAsia="fr-FR"/>
        </w:rPr>
        <w:t xml:space="preserve">La rémunération des employés représente </w:t>
      </w:r>
      <w:r w:rsidR="00BB08A2">
        <w:rPr>
          <w:lang w:eastAsia="fr-FR"/>
        </w:rPr>
        <w:t xml:space="preserve">34,45 </w:t>
      </w:r>
      <w:r w:rsidRPr="000161BF">
        <w:rPr>
          <w:lang w:eastAsia="fr-FR"/>
        </w:rPr>
        <w:t>% des d</w:t>
      </w:r>
      <w:r w:rsidR="0053700E">
        <w:rPr>
          <w:lang w:eastAsia="fr-FR"/>
        </w:rPr>
        <w:t>épenses de paludisme.</w:t>
      </w:r>
    </w:p>
    <w:p w:rsidR="00E22A08" w:rsidRPr="000161BF" w:rsidRDefault="00173664" w:rsidP="00947090">
      <w:pPr>
        <w:pStyle w:val="Titre1"/>
        <w:ind w:left="720" w:hanging="360"/>
      </w:pPr>
      <w:bookmarkStart w:id="71" w:name="_Toc413941254"/>
      <w:r>
        <w:t xml:space="preserve">5. </w:t>
      </w:r>
      <w:r w:rsidR="00956234" w:rsidRPr="004D1A61">
        <w:t>Résultat</w:t>
      </w:r>
      <w:r w:rsidR="00956234">
        <w:t>s des dé</w:t>
      </w:r>
      <w:r w:rsidR="00956234" w:rsidRPr="004D1A61">
        <w:t>penses sur la tuberculose</w:t>
      </w:r>
      <w:bookmarkEnd w:id="71"/>
    </w:p>
    <w:p w:rsidR="00734095" w:rsidRPr="00947090" w:rsidRDefault="00173664" w:rsidP="00947090">
      <w:pPr>
        <w:pStyle w:val="Titre2"/>
        <w:ind w:left="1080" w:hanging="720"/>
      </w:pPr>
      <w:bookmarkStart w:id="72" w:name="_Toc413941255"/>
      <w:r>
        <w:t xml:space="preserve">5.1. </w:t>
      </w:r>
      <w:r w:rsidR="00734095" w:rsidRPr="004D1A61">
        <w:t>Aperçu sur la situation de la tuberculose au Mali</w:t>
      </w:r>
      <w:bookmarkEnd w:id="72"/>
    </w:p>
    <w:p w:rsidR="00842B51" w:rsidRDefault="00842B51" w:rsidP="00842B51">
      <w:pPr>
        <w:spacing w:line="312" w:lineRule="auto"/>
      </w:pPr>
      <w:r w:rsidRPr="00E977B2">
        <w:t>Le Mali a une incidence de la tuberculose estimée à cas pour 100 000 habitants  en 201</w:t>
      </w:r>
      <w:r>
        <w:t>4</w:t>
      </w:r>
      <w:r w:rsidRPr="00E977B2">
        <w:t>. Il s’attend à avoir chaque année au moins 9 900 cas de tuberculose. Des progrès manifestes ont été observés de 2002 à  2009 avant de connaitre une chute en 2010.</w:t>
      </w:r>
    </w:p>
    <w:p w:rsidR="00842B51" w:rsidRPr="00E977B2" w:rsidRDefault="00842B51" w:rsidP="00842B51">
      <w:pPr>
        <w:spacing w:line="240" w:lineRule="auto"/>
      </w:pPr>
      <w:r>
        <w:rPr>
          <w:rFonts w:eastAsiaTheme="minorHAnsi"/>
          <w:bCs w:val="0"/>
          <w:sz w:val="22"/>
          <w:szCs w:val="22"/>
          <w:lang w:eastAsia="en-US"/>
        </w:rPr>
        <w:t xml:space="preserve">Au Mali, la tuberculose reste une maladie de l’adulte jeune. En effet, les personnes les plus touchées ont un âge compris entre 25 et 44 ans soit 50% de l’ensemble des cas. La tranche </w:t>
      </w:r>
      <w:r w:rsidR="00156F6E">
        <w:rPr>
          <w:rFonts w:eastAsiaTheme="minorHAnsi"/>
          <w:bCs w:val="0"/>
          <w:sz w:val="22"/>
          <w:szCs w:val="22"/>
          <w:lang w:eastAsia="en-US"/>
        </w:rPr>
        <w:t>d’âge</w:t>
      </w:r>
      <w:r>
        <w:rPr>
          <w:rFonts w:eastAsiaTheme="minorHAnsi"/>
          <w:bCs w:val="0"/>
          <w:sz w:val="22"/>
          <w:szCs w:val="22"/>
          <w:lang w:eastAsia="en-US"/>
        </w:rPr>
        <w:t xml:space="preserve"> 0-14 ans affectée est relativement faible 69 cas soit 2%. Ceci pourrait s’expliquer par l’insuffisance des moyens et la </w:t>
      </w:r>
      <w:r w:rsidR="00156F6E">
        <w:rPr>
          <w:rFonts w:eastAsiaTheme="minorHAnsi"/>
          <w:bCs w:val="0"/>
          <w:sz w:val="22"/>
          <w:szCs w:val="22"/>
          <w:lang w:eastAsia="en-US"/>
        </w:rPr>
        <w:t>difficulté</w:t>
      </w:r>
      <w:r>
        <w:rPr>
          <w:rFonts w:eastAsiaTheme="minorHAnsi"/>
          <w:bCs w:val="0"/>
          <w:sz w:val="22"/>
          <w:szCs w:val="22"/>
          <w:lang w:eastAsia="en-US"/>
        </w:rPr>
        <w:t xml:space="preserve"> de diagnostic de la tuberculose à microscopie positive chez les enfants qui crachent difficilement.</w:t>
      </w:r>
    </w:p>
    <w:p w:rsidR="00842B51" w:rsidRPr="00947090" w:rsidRDefault="00842B51" w:rsidP="00947090">
      <w:pPr>
        <w:kinsoku w:val="0"/>
        <w:overflowPunct w:val="0"/>
        <w:autoSpaceDE/>
        <w:autoSpaceDN/>
        <w:adjustRightInd/>
        <w:spacing w:after="0" w:line="264" w:lineRule="auto"/>
        <w:rPr>
          <w:color w:val="3333CC"/>
        </w:rPr>
      </w:pPr>
      <w:r w:rsidRPr="00947090">
        <w:t xml:space="preserve">En 2014, </w:t>
      </w:r>
      <w:r w:rsidR="00173664" w:rsidRPr="00947090">
        <w:t>l</w:t>
      </w:r>
      <w:r w:rsidRPr="00947090">
        <w:rPr>
          <w:rFonts w:eastAsiaTheme="minorEastAsia"/>
          <w:color w:val="000000" w:themeColor="text1"/>
        </w:rPr>
        <w:t>es intrants sont achetés sur budget d’Etat;</w:t>
      </w:r>
    </w:p>
    <w:p w:rsidR="00842B51" w:rsidRPr="00947090" w:rsidRDefault="00842B51" w:rsidP="00947090">
      <w:pPr>
        <w:pStyle w:val="Paragraphedeliste"/>
        <w:numPr>
          <w:ilvl w:val="0"/>
          <w:numId w:val="35"/>
        </w:numPr>
        <w:kinsoku w:val="0"/>
        <w:overflowPunct w:val="0"/>
        <w:autoSpaceDE/>
        <w:autoSpaceDN/>
        <w:adjustRightInd/>
        <w:spacing w:after="0" w:line="264" w:lineRule="auto"/>
        <w:jc w:val="left"/>
        <w:rPr>
          <w:color w:val="3333CC"/>
        </w:rPr>
      </w:pPr>
      <w:r w:rsidRPr="00947090">
        <w:rPr>
          <w:rFonts w:eastAsiaTheme="minorEastAsia"/>
          <w:color w:val="000000" w:themeColor="text1"/>
        </w:rPr>
        <w:t>3804 nouveaux cas de tuberculose pulmonaire à f</w:t>
      </w:r>
      <w:r w:rsidRPr="00947090">
        <w:rPr>
          <w:rFonts w:eastAsiaTheme="minorEastAsia"/>
          <w:bCs w:val="0"/>
          <w:color w:val="000000" w:themeColor="text1"/>
        </w:rPr>
        <w:t xml:space="preserve">rottis positif soit 64%  ont été notifié dont </w:t>
      </w:r>
      <w:r w:rsidRPr="00947090">
        <w:rPr>
          <w:rFonts w:eastAsiaTheme="minorEastAsia"/>
          <w:color w:val="000000" w:themeColor="text1"/>
        </w:rPr>
        <w:t>332 cas en retraitement (rechute, échec, reprise) soit 5%  des cas en 2014;</w:t>
      </w:r>
    </w:p>
    <w:p w:rsidR="00842B51" w:rsidRPr="00947090" w:rsidRDefault="00842B51" w:rsidP="00947090">
      <w:pPr>
        <w:pStyle w:val="Paragraphedeliste"/>
        <w:numPr>
          <w:ilvl w:val="0"/>
          <w:numId w:val="35"/>
        </w:numPr>
        <w:kinsoku w:val="0"/>
        <w:overflowPunct w:val="0"/>
        <w:autoSpaceDE/>
        <w:autoSpaceDN/>
        <w:adjustRightInd/>
        <w:spacing w:after="0" w:line="264" w:lineRule="auto"/>
        <w:jc w:val="left"/>
        <w:rPr>
          <w:color w:val="3333CC"/>
        </w:rPr>
      </w:pPr>
      <w:r w:rsidRPr="00947090">
        <w:rPr>
          <w:rFonts w:eastAsiaTheme="minorEastAsia"/>
          <w:color w:val="000000" w:themeColor="text1"/>
        </w:rPr>
        <w:t>632 nouveaux cas de tuberculose pulmonaire à frottis négatifs correspondant à  11%   du total en 2014;</w:t>
      </w:r>
    </w:p>
    <w:p w:rsidR="00842B51" w:rsidRPr="00E977B2" w:rsidRDefault="00842B51" w:rsidP="00947090">
      <w:pPr>
        <w:spacing w:after="0" w:line="312" w:lineRule="auto"/>
      </w:pPr>
      <w:r w:rsidRPr="00947090">
        <w:rPr>
          <w:rFonts w:eastAsiaTheme="minorEastAsia"/>
          <w:color w:val="000000" w:themeColor="text1"/>
        </w:rPr>
        <w:t>1208 cas de tuberculose extra pulmonaire soit 20%  de l’ensemble des cas de 2014</w:t>
      </w:r>
    </w:p>
    <w:p w:rsidR="00842B51" w:rsidRPr="00D33D1C" w:rsidRDefault="00842B51" w:rsidP="00842B51">
      <w:pPr>
        <w:spacing w:line="312" w:lineRule="auto"/>
      </w:pPr>
      <w:r w:rsidRPr="00D33D1C">
        <w:t>La mission du Programme est de mener des actions visant à:</w:t>
      </w:r>
    </w:p>
    <w:p w:rsidR="00842B51" w:rsidRPr="00D33D1C" w:rsidRDefault="00842B51" w:rsidP="00842B51">
      <w:pPr>
        <w:pStyle w:val="Paragraphedeliste"/>
        <w:numPr>
          <w:ilvl w:val="0"/>
          <w:numId w:val="9"/>
        </w:numPr>
        <w:tabs>
          <w:tab w:val="clear" w:pos="720"/>
        </w:tabs>
        <w:autoSpaceDE/>
        <w:autoSpaceDN/>
        <w:adjustRightInd/>
        <w:spacing w:after="0" w:line="312" w:lineRule="auto"/>
        <w:ind w:left="426"/>
        <w:jc w:val="left"/>
      </w:pPr>
      <w:r w:rsidRPr="00D33D1C">
        <w:t>Réduire le taux de prévalence de la tuberculose et le taux d’incidence des tuberculoses évitables;</w:t>
      </w:r>
    </w:p>
    <w:p w:rsidR="00842B51" w:rsidRPr="00D33D1C" w:rsidRDefault="00842B51" w:rsidP="00842B51">
      <w:pPr>
        <w:pStyle w:val="Paragraphedeliste"/>
        <w:numPr>
          <w:ilvl w:val="0"/>
          <w:numId w:val="9"/>
        </w:numPr>
        <w:tabs>
          <w:tab w:val="clear" w:pos="720"/>
        </w:tabs>
        <w:autoSpaceDE/>
        <w:autoSpaceDN/>
        <w:adjustRightInd/>
        <w:spacing w:after="0" w:line="312" w:lineRule="auto"/>
        <w:ind w:left="426"/>
        <w:jc w:val="left"/>
      </w:pPr>
      <w:r w:rsidRPr="00D33D1C">
        <w:t>Renforcer les soins antituberculeux dans le système national des soins primaires.</w:t>
      </w:r>
    </w:p>
    <w:p w:rsidR="00842B51" w:rsidRPr="00D33D1C" w:rsidRDefault="00842B51" w:rsidP="00842B51">
      <w:pPr>
        <w:spacing w:line="312" w:lineRule="auto"/>
      </w:pPr>
      <w:r w:rsidRPr="00D33D1C">
        <w:t>Les objectifs du PNLT sont de :</w:t>
      </w:r>
    </w:p>
    <w:p w:rsidR="00842B51" w:rsidRPr="00D33D1C" w:rsidRDefault="00842B51" w:rsidP="00842B51">
      <w:pPr>
        <w:pStyle w:val="Paragraphedeliste"/>
        <w:numPr>
          <w:ilvl w:val="0"/>
          <w:numId w:val="8"/>
        </w:numPr>
        <w:tabs>
          <w:tab w:val="clear" w:pos="720"/>
        </w:tabs>
        <w:autoSpaceDE/>
        <w:autoSpaceDN/>
        <w:adjustRightInd/>
        <w:spacing w:after="0" w:line="312" w:lineRule="auto"/>
        <w:ind w:left="426"/>
        <w:jc w:val="left"/>
      </w:pPr>
      <w:r w:rsidRPr="00D33D1C">
        <w:t>Dépister au moins 70% des nouveaux cas  de tuberculose à frottis positifs;</w:t>
      </w:r>
    </w:p>
    <w:p w:rsidR="00842B51" w:rsidRPr="00D33D1C" w:rsidRDefault="00842B51" w:rsidP="00842B51">
      <w:pPr>
        <w:pStyle w:val="Paragraphedeliste"/>
        <w:numPr>
          <w:ilvl w:val="0"/>
          <w:numId w:val="8"/>
        </w:numPr>
        <w:tabs>
          <w:tab w:val="clear" w:pos="720"/>
        </w:tabs>
        <w:autoSpaceDE/>
        <w:autoSpaceDN/>
        <w:adjustRightInd/>
        <w:spacing w:after="0" w:line="312" w:lineRule="auto"/>
        <w:ind w:left="426"/>
        <w:jc w:val="left"/>
      </w:pPr>
      <w:r w:rsidRPr="00D33D1C">
        <w:t>Traiter avec succès au moins 85 % des cas dépistés ;</w:t>
      </w:r>
    </w:p>
    <w:p w:rsidR="00842B51" w:rsidRPr="00D33D1C" w:rsidRDefault="00842B51" w:rsidP="00842B51">
      <w:pPr>
        <w:pStyle w:val="Paragraphedeliste"/>
        <w:numPr>
          <w:ilvl w:val="0"/>
          <w:numId w:val="8"/>
        </w:numPr>
        <w:tabs>
          <w:tab w:val="clear" w:pos="720"/>
        </w:tabs>
        <w:autoSpaceDE/>
        <w:autoSpaceDN/>
        <w:adjustRightInd/>
        <w:spacing w:after="0" w:line="312" w:lineRule="auto"/>
        <w:ind w:left="426"/>
        <w:jc w:val="left"/>
      </w:pPr>
      <w:r w:rsidRPr="00D33D1C">
        <w:t>Améliorer la prise en charge de la co-infection TB/HIV par la prise en compte de l’infection VIH chez les tuberculeux et par une meilleure détection de la tuberculose chez les Personnes Vivant avec le VIH ET DU SIDA ;</w:t>
      </w:r>
    </w:p>
    <w:p w:rsidR="00842B51" w:rsidRPr="00D33D1C" w:rsidRDefault="00842B51" w:rsidP="00842B51">
      <w:pPr>
        <w:pStyle w:val="Paragraphedeliste"/>
        <w:numPr>
          <w:ilvl w:val="0"/>
          <w:numId w:val="8"/>
        </w:numPr>
        <w:tabs>
          <w:tab w:val="clear" w:pos="720"/>
          <w:tab w:val="num" w:pos="567"/>
        </w:tabs>
        <w:autoSpaceDE/>
        <w:autoSpaceDN/>
        <w:adjustRightInd/>
        <w:spacing w:after="0" w:line="312" w:lineRule="auto"/>
        <w:ind w:left="426"/>
        <w:jc w:val="left"/>
      </w:pPr>
      <w:r w:rsidRPr="00D33D1C">
        <w:t>Atteindre l’OMD 6, cible 8.</w:t>
      </w:r>
    </w:p>
    <w:p w:rsidR="00842B51" w:rsidRPr="00D33D1C" w:rsidRDefault="00842B51" w:rsidP="00750033">
      <w:pPr>
        <w:spacing w:before="240" w:line="312" w:lineRule="auto"/>
      </w:pPr>
      <w:r w:rsidRPr="00D33D1C">
        <w:t>Le Plan stratégique antituberculeux 2013-2017 couvre les interventions  de lutte anti- tuberculeuse dans le secteur public, privé, la société civile et le milieu communautaire du Mali dans le respect des droits de l’homme, de l’équité et l’éthique. Le plan décrit les résultats attendus, les objectifs généraux et spécifiques correspondants aux composantes de la stratégie halte à la tuberculose et les interventions correspondant aux Domaines de Prestations de Services (DPS) du Fonds mondial.</w:t>
      </w:r>
    </w:p>
    <w:p w:rsidR="00842B51" w:rsidRPr="00D33D1C" w:rsidRDefault="00842B51" w:rsidP="00842B51">
      <w:pPr>
        <w:spacing w:line="312" w:lineRule="auto"/>
      </w:pPr>
      <w:r w:rsidRPr="00D33D1C">
        <w:t>En 201</w:t>
      </w:r>
      <w:r>
        <w:t>4</w:t>
      </w:r>
      <w:r w:rsidRPr="00D33D1C">
        <w:t>, le taux de détection a été de</w:t>
      </w:r>
      <w:r>
        <w:t>58</w:t>
      </w:r>
      <w:r w:rsidRPr="00D33D1C">
        <w:t xml:space="preserve"> %,</w:t>
      </w:r>
      <w:r>
        <w:t xml:space="preserve"> toujours</w:t>
      </w:r>
      <w:r w:rsidRPr="00D33D1C">
        <w:t xml:space="preserve"> inférieur à l’objectif de 70% fixé par l’OMS.</w:t>
      </w:r>
    </w:p>
    <w:p w:rsidR="00842B51" w:rsidRPr="00D33D1C" w:rsidRDefault="00842B51" w:rsidP="00842B51">
      <w:pPr>
        <w:spacing w:line="312" w:lineRule="auto"/>
      </w:pPr>
      <w:r w:rsidRPr="00D33D1C">
        <w:t xml:space="preserve">Aussi, le taux de succès au traitement a été de </w:t>
      </w:r>
      <w:r>
        <w:t>67</w:t>
      </w:r>
      <w:r w:rsidRPr="00D33D1C">
        <w:t xml:space="preserve">% contre </w:t>
      </w:r>
      <w:r>
        <w:t>75</w:t>
      </w:r>
      <w:r w:rsidRPr="00D33D1C">
        <w:t>% en 201</w:t>
      </w:r>
      <w:r>
        <w:t>3</w:t>
      </w:r>
      <w:r w:rsidRPr="00D33D1C">
        <w:t>. L’objectif de 85% n’a pas été atteint [SLIS 201</w:t>
      </w:r>
      <w:r>
        <w:t>4</w:t>
      </w:r>
      <w:r w:rsidRPr="00D33D1C">
        <w:t>].</w:t>
      </w:r>
    </w:p>
    <w:p w:rsidR="00842B51" w:rsidRPr="000161BF" w:rsidRDefault="00842B51" w:rsidP="00842B51">
      <w:pPr>
        <w:spacing w:line="312" w:lineRule="auto"/>
      </w:pPr>
      <w:r w:rsidRPr="00D33D1C">
        <w:t>Les produits et intrants sont achetés par l’Etat et ses partenaires et leur distribution est faite par le programme suivant un système d’allocation (du niveau Central jusqu’au niveau CSCom).</w:t>
      </w:r>
    </w:p>
    <w:p w:rsidR="00842B51" w:rsidRPr="000161BF" w:rsidRDefault="001E01A5" w:rsidP="00947090">
      <w:pPr>
        <w:pStyle w:val="Titre2"/>
        <w:ind w:left="1080" w:hanging="720"/>
      </w:pPr>
      <w:r>
        <w:t xml:space="preserve">5.2. </w:t>
      </w:r>
      <w:r w:rsidR="00842B51" w:rsidRPr="000161BF">
        <w:t>Volume des dépenses de lutte contre la tuberculose</w:t>
      </w:r>
    </w:p>
    <w:p w:rsidR="00842B51" w:rsidRPr="000161BF" w:rsidRDefault="00842B51" w:rsidP="00842B51">
      <w:pPr>
        <w:spacing w:line="312" w:lineRule="auto"/>
      </w:pPr>
      <w:r w:rsidRPr="000161BF">
        <w:t xml:space="preserve">Les dépenses de santé consacrées à la lutte contre la tuberculose sont estimées à </w:t>
      </w:r>
      <w:r>
        <w:t>7,</w:t>
      </w:r>
      <w:r w:rsidR="001C06B2">
        <w:t>926</w:t>
      </w:r>
      <w:r w:rsidR="001C06B2" w:rsidRPr="000161BF">
        <w:t> </w:t>
      </w:r>
      <w:r w:rsidRPr="000161BF">
        <w:t xml:space="preserve">millions de F CFA soit </w:t>
      </w:r>
      <w:r w:rsidR="001C06B2">
        <w:t>1</w:t>
      </w:r>
      <w:r w:rsidRPr="000161BF">
        <w:t>,</w:t>
      </w:r>
      <w:r w:rsidR="001C06B2">
        <w:t>97</w:t>
      </w:r>
      <w:r w:rsidRPr="000161BF">
        <w:t xml:space="preserve">% des dépenses courantes de santé estimées à </w:t>
      </w:r>
      <w:r>
        <w:t>401,</w:t>
      </w:r>
      <w:r w:rsidR="001C06B2">
        <w:t>310</w:t>
      </w:r>
      <w:r w:rsidR="001C06B2" w:rsidRPr="000161BF">
        <w:t> </w:t>
      </w:r>
      <w:r w:rsidRPr="000161BF">
        <w:t>milliards de F CFA et 0.</w:t>
      </w:r>
      <w:r w:rsidR="003959BF">
        <w:t>27</w:t>
      </w:r>
      <w:r w:rsidRPr="000161BF">
        <w:t xml:space="preserve">% des dépenses courantes de santé consacrées aux maladies infectieuses et parasitaires estimées à </w:t>
      </w:r>
      <w:r w:rsidR="003959BF">
        <w:t>29,247 milliard</w:t>
      </w:r>
      <w:r w:rsidR="004F4937">
        <w:t>s</w:t>
      </w:r>
      <w:r w:rsidR="003959BF">
        <w:t xml:space="preserve"> de</w:t>
      </w:r>
      <w:r w:rsidR="00B32172">
        <w:t xml:space="preserve"> F</w:t>
      </w:r>
      <w:r w:rsidRPr="000161BF">
        <w:t>CFA.</w:t>
      </w:r>
    </w:p>
    <w:p w:rsidR="00842B51" w:rsidRPr="00947090" w:rsidRDefault="00842B51" w:rsidP="00947090">
      <w:pPr>
        <w:pStyle w:val="Titre3"/>
        <w:numPr>
          <w:ilvl w:val="2"/>
          <w:numId w:val="34"/>
        </w:numPr>
        <w:rPr>
          <w:b w:val="0"/>
          <w:bCs w:val="0"/>
          <w:lang w:eastAsia="fr-FR"/>
        </w:rPr>
      </w:pPr>
      <w:r w:rsidRPr="00947090">
        <w:rPr>
          <w:lang w:eastAsia="fr-FR"/>
        </w:rPr>
        <w:t>Recettes des régimes de financement des dépenses de la</w:t>
      </w:r>
      <w:r w:rsidRPr="00947090">
        <w:rPr>
          <w:b w:val="0"/>
          <w:bCs w:val="0"/>
          <w:lang w:eastAsia="fr-FR"/>
        </w:rPr>
        <w:t xml:space="preserve"> tuberculose </w:t>
      </w:r>
    </w:p>
    <w:p w:rsidR="00842B51" w:rsidRDefault="00842B51" w:rsidP="00842B51">
      <w:pPr>
        <w:spacing w:line="312" w:lineRule="auto"/>
        <w:rPr>
          <w:lang w:eastAsia="fr-FR"/>
        </w:rPr>
      </w:pPr>
      <w:r w:rsidRPr="000161BF">
        <w:t>Les dépenses des recettes des régimes de financement pour la tuberculose sont récapitulées dans le tableau</w:t>
      </w:r>
      <w:r w:rsidR="00873C83">
        <w:t xml:space="preserve"> 5.2.1</w:t>
      </w:r>
      <w:r w:rsidRPr="000161BF">
        <w:t>.</w:t>
      </w:r>
    </w:p>
    <w:p w:rsidR="00873C83" w:rsidRDefault="00873C83" w:rsidP="00947090">
      <w:pPr>
        <w:spacing w:after="120"/>
        <w:jc w:val="left"/>
        <w:rPr>
          <w:bCs w:val="0"/>
          <w:i/>
          <w:sz w:val="22"/>
        </w:rPr>
      </w:pPr>
    </w:p>
    <w:p w:rsidR="009A11F9" w:rsidRDefault="009A11F9" w:rsidP="00947090">
      <w:pPr>
        <w:spacing w:after="120"/>
        <w:jc w:val="left"/>
        <w:rPr>
          <w:bCs w:val="0"/>
          <w:i/>
          <w:sz w:val="22"/>
        </w:rPr>
      </w:pPr>
    </w:p>
    <w:p w:rsidR="009A11F9" w:rsidRDefault="009A11F9" w:rsidP="00947090">
      <w:pPr>
        <w:spacing w:after="120"/>
        <w:jc w:val="left"/>
        <w:rPr>
          <w:bCs w:val="0"/>
          <w:i/>
          <w:sz w:val="22"/>
        </w:rPr>
      </w:pPr>
    </w:p>
    <w:p w:rsidR="009A11F9" w:rsidRDefault="009A11F9" w:rsidP="00947090">
      <w:pPr>
        <w:spacing w:after="120"/>
        <w:jc w:val="left"/>
        <w:rPr>
          <w:bCs w:val="0"/>
          <w:i/>
          <w:sz w:val="22"/>
        </w:rPr>
      </w:pPr>
    </w:p>
    <w:p w:rsidR="009A11F9" w:rsidRDefault="009A11F9" w:rsidP="00947090">
      <w:pPr>
        <w:spacing w:after="120"/>
        <w:jc w:val="left"/>
        <w:rPr>
          <w:bCs w:val="0"/>
          <w:i/>
          <w:sz w:val="22"/>
        </w:rPr>
      </w:pPr>
    </w:p>
    <w:p w:rsidR="009A11F9" w:rsidRDefault="009A11F9" w:rsidP="00947090">
      <w:pPr>
        <w:spacing w:after="120"/>
        <w:jc w:val="left"/>
        <w:rPr>
          <w:bCs w:val="0"/>
          <w:i/>
          <w:sz w:val="22"/>
        </w:rPr>
      </w:pPr>
    </w:p>
    <w:p w:rsidR="009A11F9" w:rsidRDefault="009A11F9" w:rsidP="00947090">
      <w:pPr>
        <w:spacing w:after="120"/>
        <w:jc w:val="left"/>
        <w:rPr>
          <w:bCs w:val="0"/>
          <w:i/>
          <w:sz w:val="22"/>
        </w:rPr>
      </w:pPr>
    </w:p>
    <w:p w:rsidR="009A11F9" w:rsidRDefault="009A11F9" w:rsidP="00947090">
      <w:pPr>
        <w:spacing w:after="120"/>
        <w:jc w:val="left"/>
        <w:rPr>
          <w:bCs w:val="0"/>
          <w:i/>
          <w:sz w:val="22"/>
        </w:rPr>
      </w:pPr>
    </w:p>
    <w:p w:rsidR="009A11F9" w:rsidRDefault="009A11F9" w:rsidP="00947090">
      <w:pPr>
        <w:spacing w:after="120"/>
        <w:jc w:val="left"/>
        <w:rPr>
          <w:bCs w:val="0"/>
          <w:i/>
          <w:sz w:val="22"/>
        </w:rPr>
      </w:pPr>
    </w:p>
    <w:p w:rsidR="00806467" w:rsidRPr="009A11F9" w:rsidRDefault="00D47B9A" w:rsidP="009A11F9">
      <w:pPr>
        <w:spacing w:after="120"/>
        <w:jc w:val="left"/>
        <w:rPr>
          <w:bCs w:val="0"/>
          <w:i/>
          <w:sz w:val="22"/>
        </w:rPr>
      </w:pPr>
      <w:r w:rsidRPr="00947090">
        <w:rPr>
          <w:bCs w:val="0"/>
          <w:i/>
          <w:sz w:val="22"/>
        </w:rPr>
        <w:t>Tableau 5.2.1: Recettes des régimes de financement des soins de s</w:t>
      </w:r>
      <w:r w:rsidR="009A11F9">
        <w:rPr>
          <w:bCs w:val="0"/>
          <w:i/>
          <w:sz w:val="22"/>
        </w:rPr>
        <w:t>anté (en million de francs CFA)</w:t>
      </w:r>
    </w:p>
    <w:tbl>
      <w:tblPr>
        <w:tblW w:w="9490" w:type="dxa"/>
        <w:tblInd w:w="56" w:type="dxa"/>
        <w:tblCellMar>
          <w:left w:w="70" w:type="dxa"/>
          <w:right w:w="70" w:type="dxa"/>
        </w:tblCellMar>
        <w:tblLook w:val="04A0"/>
      </w:tblPr>
      <w:tblGrid>
        <w:gridCol w:w="2266"/>
        <w:gridCol w:w="1827"/>
        <w:gridCol w:w="1305"/>
        <w:gridCol w:w="1023"/>
        <w:gridCol w:w="1023"/>
        <w:gridCol w:w="1023"/>
        <w:gridCol w:w="1023"/>
      </w:tblGrid>
      <w:tr w:rsidR="00806467" w:rsidRPr="00806467" w:rsidTr="009A11F9">
        <w:trPr>
          <w:trHeight w:val="315"/>
        </w:trPr>
        <w:tc>
          <w:tcPr>
            <w:tcW w:w="537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Recettes des Régimes Tuberculose</w:t>
            </w:r>
          </w:p>
        </w:tc>
        <w:tc>
          <w:tcPr>
            <w:tcW w:w="3087" w:type="dxa"/>
            <w:gridSpan w:val="3"/>
            <w:tcBorders>
              <w:top w:val="single" w:sz="8" w:space="0" w:color="auto"/>
              <w:left w:val="nil"/>
              <w:bottom w:val="single" w:sz="8" w:space="0" w:color="auto"/>
              <w:right w:val="single" w:sz="8" w:space="0" w:color="000000"/>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Dépenses</w:t>
            </w:r>
          </w:p>
        </w:tc>
        <w:tc>
          <w:tcPr>
            <w:tcW w:w="1029" w:type="dxa"/>
            <w:tcBorders>
              <w:top w:val="single" w:sz="8" w:space="0" w:color="auto"/>
              <w:left w:val="nil"/>
              <w:bottom w:val="single" w:sz="8" w:space="0" w:color="auto"/>
              <w:right w:val="single" w:sz="8"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w:t>
            </w:r>
          </w:p>
        </w:tc>
      </w:tr>
      <w:tr w:rsidR="00806467" w:rsidRPr="00806467" w:rsidTr="009A11F9">
        <w:trPr>
          <w:trHeight w:val="1404"/>
        </w:trPr>
        <w:tc>
          <w:tcPr>
            <w:tcW w:w="2282" w:type="dxa"/>
            <w:tcBorders>
              <w:top w:val="nil"/>
              <w:left w:val="single" w:sz="8" w:space="0" w:color="auto"/>
              <w:bottom w:val="single" w:sz="8" w:space="0" w:color="auto"/>
              <w:right w:val="single" w:sz="8"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
                <w:lang w:eastAsia="fr-FR"/>
              </w:rPr>
            </w:pPr>
            <w:r w:rsidRPr="00806467">
              <w:rPr>
                <w:rFonts w:eastAsia="Times New Roman"/>
                <w:b/>
                <w:sz w:val="22"/>
                <w:szCs w:val="22"/>
                <w:lang w:eastAsia="fr-FR"/>
              </w:rPr>
              <w:t>Transferts issus des revenus nationaux de l'administration publique (alloués à la santé)</w:t>
            </w:r>
          </w:p>
        </w:tc>
        <w:tc>
          <w:tcPr>
            <w:tcW w:w="1839" w:type="dxa"/>
            <w:tcBorders>
              <w:top w:val="nil"/>
              <w:left w:val="nil"/>
              <w:bottom w:val="single" w:sz="8" w:space="0" w:color="auto"/>
              <w:right w:val="single" w:sz="8"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i/>
                <w:iCs/>
                <w:lang w:eastAsia="fr-FR"/>
              </w:rPr>
            </w:pPr>
            <w:r w:rsidRPr="00806467">
              <w:rPr>
                <w:rFonts w:eastAsia="Times New Roman"/>
                <w:bCs w:val="0"/>
                <w:i/>
                <w:iCs/>
                <w:sz w:val="22"/>
                <w:szCs w:val="22"/>
                <w:lang w:eastAsia="fr-FR"/>
              </w:rPr>
              <w:t>Transferts internes et allocations</w:t>
            </w:r>
          </w:p>
        </w:tc>
        <w:tc>
          <w:tcPr>
            <w:tcW w:w="1253" w:type="dxa"/>
            <w:tcBorders>
              <w:top w:val="nil"/>
              <w:left w:val="nil"/>
              <w:bottom w:val="single" w:sz="8" w:space="0" w:color="auto"/>
              <w:right w:val="single" w:sz="8"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
                <w:lang w:eastAsia="fr-FR"/>
              </w:rPr>
            </w:pPr>
            <w:r w:rsidRPr="00806467">
              <w:rPr>
                <w:rFonts w:eastAsia="Times New Roman"/>
                <w:b/>
                <w:sz w:val="22"/>
                <w:szCs w:val="22"/>
                <w:lang w:eastAsia="fr-FR"/>
              </w:rPr>
              <w:t> </w:t>
            </w:r>
          </w:p>
        </w:tc>
        <w:tc>
          <w:tcPr>
            <w:tcW w:w="1029" w:type="dxa"/>
            <w:tcBorders>
              <w:top w:val="nil"/>
              <w:left w:val="nil"/>
              <w:bottom w:val="single" w:sz="8" w:space="0" w:color="auto"/>
              <w:right w:val="single" w:sz="8" w:space="0" w:color="auto"/>
            </w:tcBorders>
            <w:shd w:val="clear" w:color="auto" w:fill="auto"/>
            <w:vAlign w:val="bottom"/>
            <w:hideMark/>
          </w:tcPr>
          <w:p w:rsidR="00806467" w:rsidRPr="00806467" w:rsidRDefault="00806467" w:rsidP="00806467">
            <w:pPr>
              <w:autoSpaceDE/>
              <w:autoSpaceDN/>
              <w:adjustRightInd/>
              <w:spacing w:after="0" w:line="240" w:lineRule="auto"/>
              <w:jc w:val="left"/>
              <w:rPr>
                <w:rFonts w:ascii="Calibri" w:eastAsia="Times New Roman" w:hAnsi="Calibri"/>
                <w:bCs w:val="0"/>
                <w:lang w:eastAsia="fr-FR"/>
              </w:rPr>
            </w:pPr>
            <w:r w:rsidRPr="00806467">
              <w:rPr>
                <w:rFonts w:ascii="Calibri" w:eastAsia="Times New Roman" w:hAnsi="Calibri"/>
                <w:bCs w:val="0"/>
                <w:sz w:val="22"/>
                <w:szCs w:val="22"/>
                <w:lang w:eastAsia="fr-FR"/>
              </w:rPr>
              <w:t> </w:t>
            </w:r>
          </w:p>
        </w:tc>
        <w:tc>
          <w:tcPr>
            <w:tcW w:w="1029" w:type="dxa"/>
            <w:tcBorders>
              <w:top w:val="nil"/>
              <w:left w:val="nil"/>
              <w:bottom w:val="single" w:sz="8" w:space="0" w:color="auto"/>
              <w:right w:val="single" w:sz="8"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4012,34</w:t>
            </w:r>
          </w:p>
        </w:tc>
        <w:tc>
          <w:tcPr>
            <w:tcW w:w="1029" w:type="dxa"/>
            <w:tcBorders>
              <w:top w:val="nil"/>
              <w:left w:val="nil"/>
              <w:bottom w:val="single" w:sz="8" w:space="0" w:color="auto"/>
              <w:right w:val="single" w:sz="8"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4012,34</w:t>
            </w:r>
          </w:p>
        </w:tc>
        <w:tc>
          <w:tcPr>
            <w:tcW w:w="1029" w:type="dxa"/>
            <w:tcBorders>
              <w:top w:val="nil"/>
              <w:left w:val="nil"/>
              <w:bottom w:val="single" w:sz="8" w:space="0" w:color="auto"/>
              <w:right w:val="single" w:sz="8"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50,63</w:t>
            </w:r>
          </w:p>
        </w:tc>
      </w:tr>
      <w:tr w:rsidR="00806467" w:rsidRPr="00806467" w:rsidTr="009A11F9">
        <w:trPr>
          <w:trHeight w:val="845"/>
        </w:trPr>
        <w:tc>
          <w:tcPr>
            <w:tcW w:w="2282" w:type="dxa"/>
            <w:vMerge w:val="restart"/>
            <w:tcBorders>
              <w:top w:val="nil"/>
              <w:left w:val="single" w:sz="8" w:space="0" w:color="auto"/>
              <w:bottom w:val="single" w:sz="8" w:space="0" w:color="000000"/>
              <w:right w:val="single" w:sz="8"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
                <w:lang w:eastAsia="fr-FR"/>
              </w:rPr>
            </w:pPr>
            <w:r w:rsidRPr="00806467">
              <w:rPr>
                <w:rFonts w:eastAsia="Times New Roman"/>
                <w:b/>
                <w:sz w:val="22"/>
                <w:szCs w:val="22"/>
                <w:lang w:eastAsia="fr-FR"/>
              </w:rPr>
              <w:t>Transferts d'origine étrangère distribués par l'administration publique</w:t>
            </w:r>
          </w:p>
        </w:tc>
        <w:tc>
          <w:tcPr>
            <w:tcW w:w="1839" w:type="dxa"/>
            <w:tcBorders>
              <w:top w:val="nil"/>
              <w:left w:val="nil"/>
              <w:bottom w:val="single" w:sz="8" w:space="0" w:color="auto"/>
              <w:right w:val="single" w:sz="8"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i/>
                <w:iCs/>
                <w:lang w:eastAsia="fr-FR"/>
              </w:rPr>
            </w:pPr>
            <w:r w:rsidRPr="00806467">
              <w:rPr>
                <w:rFonts w:eastAsia="Times New Roman"/>
                <w:bCs w:val="0"/>
                <w:i/>
                <w:iCs/>
                <w:sz w:val="22"/>
                <w:szCs w:val="22"/>
                <w:lang w:eastAsia="fr-FR"/>
              </w:rPr>
              <w:t>Appui budgétaire sectoriel (ABS)</w:t>
            </w:r>
          </w:p>
        </w:tc>
        <w:tc>
          <w:tcPr>
            <w:tcW w:w="1253" w:type="dxa"/>
            <w:tcBorders>
              <w:top w:val="nil"/>
              <w:left w:val="nil"/>
              <w:bottom w:val="single" w:sz="8" w:space="0" w:color="auto"/>
              <w:right w:val="single" w:sz="8"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 </w:t>
            </w:r>
          </w:p>
        </w:tc>
        <w:tc>
          <w:tcPr>
            <w:tcW w:w="1029" w:type="dxa"/>
            <w:tcBorders>
              <w:top w:val="nil"/>
              <w:left w:val="nil"/>
              <w:bottom w:val="single" w:sz="8" w:space="0" w:color="auto"/>
              <w:right w:val="single" w:sz="8"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Cs w:val="0"/>
                <w:lang w:eastAsia="fr-FR"/>
              </w:rPr>
            </w:pPr>
            <w:r w:rsidRPr="00806467">
              <w:rPr>
                <w:rFonts w:eastAsia="Times New Roman"/>
                <w:bCs w:val="0"/>
                <w:sz w:val="22"/>
                <w:szCs w:val="22"/>
                <w:lang w:eastAsia="fr-FR"/>
              </w:rPr>
              <w:t>309,23</w:t>
            </w:r>
          </w:p>
        </w:tc>
        <w:tc>
          <w:tcPr>
            <w:tcW w:w="1029" w:type="dxa"/>
            <w:vMerge w:val="restart"/>
            <w:tcBorders>
              <w:top w:val="nil"/>
              <w:left w:val="single" w:sz="8" w:space="0" w:color="auto"/>
              <w:bottom w:val="single" w:sz="8" w:space="0" w:color="000000"/>
              <w:right w:val="single" w:sz="8" w:space="0" w:color="auto"/>
            </w:tcBorders>
            <w:shd w:val="clear" w:color="auto" w:fill="auto"/>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1077,26</w:t>
            </w:r>
          </w:p>
        </w:tc>
        <w:tc>
          <w:tcPr>
            <w:tcW w:w="1029" w:type="dxa"/>
            <w:vMerge w:val="restart"/>
            <w:tcBorders>
              <w:top w:val="nil"/>
              <w:left w:val="single" w:sz="8" w:space="0" w:color="auto"/>
              <w:bottom w:val="single" w:sz="8" w:space="0" w:color="000000"/>
              <w:right w:val="single" w:sz="8" w:space="0" w:color="auto"/>
            </w:tcBorders>
            <w:shd w:val="clear" w:color="auto" w:fill="auto"/>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1077,26</w:t>
            </w:r>
          </w:p>
        </w:tc>
        <w:tc>
          <w:tcPr>
            <w:tcW w:w="102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13,59</w:t>
            </w:r>
          </w:p>
        </w:tc>
      </w:tr>
      <w:tr w:rsidR="00806467" w:rsidRPr="00806467" w:rsidTr="009A11F9">
        <w:trPr>
          <w:trHeight w:val="915"/>
        </w:trPr>
        <w:tc>
          <w:tcPr>
            <w:tcW w:w="2282" w:type="dxa"/>
            <w:vMerge/>
            <w:tcBorders>
              <w:top w:val="nil"/>
              <w:left w:val="single" w:sz="8" w:space="0" w:color="auto"/>
              <w:bottom w:val="single" w:sz="4" w:space="0" w:color="auto"/>
              <w:right w:val="single" w:sz="8" w:space="0" w:color="auto"/>
            </w:tcBorders>
            <w:vAlign w:val="center"/>
            <w:hideMark/>
          </w:tcPr>
          <w:p w:rsidR="00806467" w:rsidRPr="00806467" w:rsidRDefault="00806467" w:rsidP="00806467">
            <w:pPr>
              <w:autoSpaceDE/>
              <w:autoSpaceDN/>
              <w:adjustRightInd/>
              <w:spacing w:after="0" w:line="240" w:lineRule="auto"/>
              <w:jc w:val="left"/>
              <w:rPr>
                <w:rFonts w:eastAsia="Times New Roman"/>
                <w:b/>
                <w:lang w:eastAsia="fr-FR"/>
              </w:rPr>
            </w:pPr>
          </w:p>
        </w:tc>
        <w:tc>
          <w:tcPr>
            <w:tcW w:w="1839" w:type="dxa"/>
            <w:tcBorders>
              <w:top w:val="nil"/>
              <w:left w:val="nil"/>
              <w:bottom w:val="single" w:sz="4" w:space="0" w:color="auto"/>
              <w:right w:val="single" w:sz="8"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i/>
                <w:iCs/>
                <w:lang w:eastAsia="fr-FR"/>
              </w:rPr>
            </w:pPr>
            <w:r w:rsidRPr="00806467">
              <w:rPr>
                <w:rFonts w:eastAsia="Times New Roman"/>
                <w:bCs w:val="0"/>
                <w:i/>
                <w:iCs/>
                <w:sz w:val="22"/>
                <w:szCs w:val="22"/>
                <w:lang w:eastAsia="fr-FR"/>
              </w:rPr>
              <w:t>Appui par programme/projet</w:t>
            </w:r>
          </w:p>
        </w:tc>
        <w:tc>
          <w:tcPr>
            <w:tcW w:w="1253" w:type="dxa"/>
            <w:tcBorders>
              <w:top w:val="nil"/>
              <w:left w:val="nil"/>
              <w:bottom w:val="single" w:sz="4" w:space="0" w:color="auto"/>
              <w:right w:val="single" w:sz="8"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 </w:t>
            </w:r>
          </w:p>
        </w:tc>
        <w:tc>
          <w:tcPr>
            <w:tcW w:w="1029" w:type="dxa"/>
            <w:tcBorders>
              <w:top w:val="nil"/>
              <w:left w:val="nil"/>
              <w:bottom w:val="single" w:sz="4" w:space="0" w:color="auto"/>
              <w:right w:val="single" w:sz="8"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Cs w:val="0"/>
                <w:lang w:eastAsia="fr-FR"/>
              </w:rPr>
            </w:pPr>
            <w:r w:rsidRPr="00806467">
              <w:rPr>
                <w:rFonts w:eastAsia="Times New Roman"/>
                <w:bCs w:val="0"/>
                <w:sz w:val="22"/>
                <w:szCs w:val="22"/>
                <w:lang w:eastAsia="fr-FR"/>
              </w:rPr>
              <w:t>768,03</w:t>
            </w:r>
          </w:p>
        </w:tc>
        <w:tc>
          <w:tcPr>
            <w:tcW w:w="1029" w:type="dxa"/>
            <w:vMerge/>
            <w:tcBorders>
              <w:top w:val="nil"/>
              <w:left w:val="single" w:sz="8" w:space="0" w:color="auto"/>
              <w:bottom w:val="single" w:sz="4" w:space="0" w:color="auto"/>
              <w:right w:val="single" w:sz="8" w:space="0" w:color="auto"/>
            </w:tcBorders>
            <w:vAlign w:val="center"/>
            <w:hideMark/>
          </w:tcPr>
          <w:p w:rsidR="00806467" w:rsidRPr="00806467" w:rsidRDefault="00806467" w:rsidP="00806467">
            <w:pPr>
              <w:autoSpaceDE/>
              <w:autoSpaceDN/>
              <w:adjustRightInd/>
              <w:spacing w:after="0" w:line="240" w:lineRule="auto"/>
              <w:jc w:val="left"/>
              <w:rPr>
                <w:rFonts w:eastAsia="Times New Roman"/>
                <w:bCs w:val="0"/>
                <w:i/>
                <w:iCs/>
                <w:lang w:eastAsia="fr-FR"/>
              </w:rPr>
            </w:pPr>
          </w:p>
        </w:tc>
        <w:tc>
          <w:tcPr>
            <w:tcW w:w="1029" w:type="dxa"/>
            <w:vMerge/>
            <w:tcBorders>
              <w:top w:val="nil"/>
              <w:left w:val="single" w:sz="8" w:space="0" w:color="auto"/>
              <w:bottom w:val="single" w:sz="4" w:space="0" w:color="auto"/>
              <w:right w:val="single" w:sz="8" w:space="0" w:color="auto"/>
            </w:tcBorders>
            <w:vAlign w:val="center"/>
            <w:hideMark/>
          </w:tcPr>
          <w:p w:rsidR="00806467" w:rsidRPr="00806467" w:rsidRDefault="00806467" w:rsidP="00806467">
            <w:pPr>
              <w:autoSpaceDE/>
              <w:autoSpaceDN/>
              <w:adjustRightInd/>
              <w:spacing w:after="0" w:line="240" w:lineRule="auto"/>
              <w:jc w:val="left"/>
              <w:rPr>
                <w:rFonts w:eastAsia="Times New Roman"/>
                <w:bCs w:val="0"/>
                <w:i/>
                <w:iCs/>
                <w:lang w:eastAsia="fr-FR"/>
              </w:rPr>
            </w:pPr>
          </w:p>
        </w:tc>
        <w:tc>
          <w:tcPr>
            <w:tcW w:w="1029" w:type="dxa"/>
            <w:vMerge/>
            <w:tcBorders>
              <w:top w:val="nil"/>
              <w:left w:val="single" w:sz="8" w:space="0" w:color="auto"/>
              <w:bottom w:val="single" w:sz="4" w:space="0" w:color="auto"/>
              <w:right w:val="single" w:sz="8" w:space="0" w:color="auto"/>
            </w:tcBorders>
            <w:vAlign w:val="center"/>
            <w:hideMark/>
          </w:tcPr>
          <w:p w:rsidR="00806467" w:rsidRPr="00806467" w:rsidRDefault="00806467" w:rsidP="00806467">
            <w:pPr>
              <w:autoSpaceDE/>
              <w:autoSpaceDN/>
              <w:adjustRightInd/>
              <w:spacing w:after="0" w:line="240" w:lineRule="auto"/>
              <w:jc w:val="left"/>
              <w:rPr>
                <w:rFonts w:eastAsia="Times New Roman"/>
                <w:b/>
                <w:lang w:eastAsia="fr-FR"/>
              </w:rPr>
            </w:pPr>
          </w:p>
        </w:tc>
      </w:tr>
      <w:tr w:rsidR="00806467" w:rsidRPr="00806467" w:rsidTr="009A11F9">
        <w:trPr>
          <w:trHeight w:val="1215"/>
        </w:trPr>
        <w:tc>
          <w:tcPr>
            <w:tcW w:w="22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
                <w:lang w:eastAsia="fr-FR"/>
              </w:rPr>
            </w:pPr>
            <w:r w:rsidRPr="00806467">
              <w:rPr>
                <w:rFonts w:eastAsia="Times New Roman"/>
                <w:b/>
                <w:sz w:val="22"/>
                <w:szCs w:val="22"/>
                <w:lang w:eastAsia="fr-FR"/>
              </w:rPr>
              <w:t>Transferts directs étrangers</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i/>
                <w:iCs/>
                <w:lang w:eastAsia="fr-FR"/>
              </w:rPr>
            </w:pPr>
            <w:r w:rsidRPr="00806467">
              <w:rPr>
                <w:rFonts w:eastAsia="Times New Roman"/>
                <w:bCs w:val="0"/>
                <w:i/>
                <w:iCs/>
                <w:sz w:val="22"/>
                <w:szCs w:val="22"/>
                <w:lang w:eastAsia="fr-FR"/>
              </w:rPr>
              <w:t>Transferts financiers directs étrangers</w:t>
            </w:r>
          </w:p>
        </w:tc>
        <w:tc>
          <w:tcPr>
            <w:tcW w:w="1253"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Transferts financiers directs bilatéraux</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Cs w:val="0"/>
                <w:lang w:eastAsia="fr-FR"/>
              </w:rPr>
            </w:pPr>
            <w:r w:rsidRPr="00806467">
              <w:rPr>
                <w:rFonts w:eastAsia="Times New Roman"/>
                <w:bCs w:val="0"/>
                <w:sz w:val="22"/>
                <w:szCs w:val="22"/>
                <w:lang w:eastAsia="fr-FR"/>
              </w:rPr>
              <w:t>182,53</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1533,55</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1533,55</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19,35</w:t>
            </w:r>
          </w:p>
        </w:tc>
      </w:tr>
      <w:tr w:rsidR="00806467" w:rsidRPr="00806467" w:rsidTr="009A11F9">
        <w:trPr>
          <w:trHeight w:val="1515"/>
        </w:trPr>
        <w:tc>
          <w:tcPr>
            <w:tcW w:w="2282" w:type="dxa"/>
            <w:vMerge/>
            <w:tcBorders>
              <w:top w:val="single" w:sz="4" w:space="0" w:color="auto"/>
              <w:left w:val="single" w:sz="4" w:space="0" w:color="auto"/>
              <w:bottom w:val="single" w:sz="4" w:space="0" w:color="auto"/>
              <w:right w:val="single" w:sz="4" w:space="0" w:color="auto"/>
            </w:tcBorders>
            <w:vAlign w:val="center"/>
            <w:hideMark/>
          </w:tcPr>
          <w:p w:rsidR="00806467" w:rsidRPr="00806467" w:rsidRDefault="00806467" w:rsidP="00806467">
            <w:pPr>
              <w:autoSpaceDE/>
              <w:autoSpaceDN/>
              <w:adjustRightInd/>
              <w:spacing w:after="0" w:line="240" w:lineRule="auto"/>
              <w:jc w:val="left"/>
              <w:rPr>
                <w:rFonts w:eastAsia="Times New Roman"/>
                <w:b/>
                <w:lang w:eastAsia="fr-FR"/>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806467" w:rsidRPr="00806467" w:rsidRDefault="00806467" w:rsidP="00806467">
            <w:pPr>
              <w:autoSpaceDE/>
              <w:autoSpaceDN/>
              <w:adjustRightInd/>
              <w:spacing w:after="0" w:line="240" w:lineRule="auto"/>
              <w:jc w:val="left"/>
              <w:rPr>
                <w:rFonts w:eastAsia="Times New Roman"/>
                <w:bCs w:val="0"/>
                <w:i/>
                <w:iCs/>
                <w:lang w:eastAsia="fr-FR"/>
              </w:rPr>
            </w:pPr>
          </w:p>
        </w:tc>
        <w:tc>
          <w:tcPr>
            <w:tcW w:w="1253"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Transferts financiers directs multilatéraux</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Cs w:val="0"/>
                <w:lang w:eastAsia="fr-FR"/>
              </w:rPr>
            </w:pPr>
            <w:r w:rsidRPr="00806467">
              <w:rPr>
                <w:rFonts w:eastAsia="Times New Roman"/>
                <w:bCs w:val="0"/>
                <w:sz w:val="22"/>
                <w:szCs w:val="22"/>
                <w:lang w:eastAsia="fr-FR"/>
              </w:rPr>
              <w:t>1350,87</w:t>
            </w: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806467" w:rsidRPr="00806467" w:rsidRDefault="00806467" w:rsidP="00806467">
            <w:pPr>
              <w:autoSpaceDE/>
              <w:autoSpaceDN/>
              <w:adjustRightInd/>
              <w:spacing w:after="0" w:line="240" w:lineRule="auto"/>
              <w:jc w:val="left"/>
              <w:rPr>
                <w:rFonts w:eastAsia="Times New Roman"/>
                <w:bCs w:val="0"/>
                <w:i/>
                <w:iCs/>
                <w:lang w:eastAsia="fr-FR"/>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806467" w:rsidRPr="00806467" w:rsidRDefault="00806467" w:rsidP="00806467">
            <w:pPr>
              <w:autoSpaceDE/>
              <w:autoSpaceDN/>
              <w:adjustRightInd/>
              <w:spacing w:after="0" w:line="240" w:lineRule="auto"/>
              <w:jc w:val="left"/>
              <w:rPr>
                <w:rFonts w:eastAsia="Times New Roman"/>
                <w:bCs w:val="0"/>
                <w:i/>
                <w:iCs/>
                <w:lang w:eastAsia="fr-FR"/>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806467" w:rsidRPr="00806467" w:rsidRDefault="00806467" w:rsidP="00806467">
            <w:pPr>
              <w:autoSpaceDE/>
              <w:autoSpaceDN/>
              <w:adjustRightInd/>
              <w:spacing w:after="0" w:line="240" w:lineRule="auto"/>
              <w:jc w:val="left"/>
              <w:rPr>
                <w:rFonts w:eastAsia="Times New Roman"/>
                <w:b/>
                <w:lang w:eastAsia="fr-FR"/>
              </w:rPr>
            </w:pPr>
          </w:p>
        </w:tc>
      </w:tr>
      <w:tr w:rsidR="00806467" w:rsidRPr="00806467" w:rsidTr="009A11F9">
        <w:trPr>
          <w:trHeight w:val="1515"/>
        </w:trPr>
        <w:tc>
          <w:tcPr>
            <w:tcW w:w="2282" w:type="dxa"/>
            <w:vMerge/>
            <w:tcBorders>
              <w:top w:val="single" w:sz="4" w:space="0" w:color="auto"/>
              <w:left w:val="single" w:sz="4" w:space="0" w:color="auto"/>
              <w:bottom w:val="single" w:sz="4" w:space="0" w:color="auto"/>
              <w:right w:val="single" w:sz="4" w:space="0" w:color="auto"/>
            </w:tcBorders>
            <w:vAlign w:val="center"/>
            <w:hideMark/>
          </w:tcPr>
          <w:p w:rsidR="00806467" w:rsidRPr="00806467" w:rsidRDefault="00806467" w:rsidP="00806467">
            <w:pPr>
              <w:autoSpaceDE/>
              <w:autoSpaceDN/>
              <w:adjustRightInd/>
              <w:spacing w:after="0" w:line="240" w:lineRule="auto"/>
              <w:jc w:val="left"/>
              <w:rPr>
                <w:rFonts w:eastAsia="Times New Roman"/>
                <w:b/>
                <w:lang w:eastAsia="fr-FR"/>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806467" w:rsidRPr="00806467" w:rsidRDefault="00806467" w:rsidP="00806467">
            <w:pPr>
              <w:autoSpaceDE/>
              <w:autoSpaceDN/>
              <w:adjustRightInd/>
              <w:spacing w:after="0" w:line="240" w:lineRule="auto"/>
              <w:jc w:val="left"/>
              <w:rPr>
                <w:rFonts w:eastAsia="Times New Roman"/>
                <w:bCs w:val="0"/>
                <w:i/>
                <w:iCs/>
                <w:lang w:eastAsia="fr-FR"/>
              </w:rPr>
            </w:pPr>
          </w:p>
        </w:tc>
        <w:tc>
          <w:tcPr>
            <w:tcW w:w="1253"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Autres transferts financiers directs étrangers</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Cs w:val="0"/>
                <w:lang w:eastAsia="fr-FR"/>
              </w:rPr>
            </w:pPr>
            <w:r w:rsidRPr="00806467">
              <w:rPr>
                <w:rFonts w:eastAsia="Times New Roman"/>
                <w:bCs w:val="0"/>
                <w:sz w:val="22"/>
                <w:szCs w:val="22"/>
                <w:lang w:eastAsia="fr-FR"/>
              </w:rPr>
              <w:t>0,15</w:t>
            </w: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806467" w:rsidRPr="00806467" w:rsidRDefault="00806467" w:rsidP="00806467">
            <w:pPr>
              <w:autoSpaceDE/>
              <w:autoSpaceDN/>
              <w:adjustRightInd/>
              <w:spacing w:after="0" w:line="240" w:lineRule="auto"/>
              <w:jc w:val="left"/>
              <w:rPr>
                <w:rFonts w:eastAsia="Times New Roman"/>
                <w:bCs w:val="0"/>
                <w:i/>
                <w:iCs/>
                <w:lang w:eastAsia="fr-FR"/>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806467" w:rsidRPr="00806467" w:rsidRDefault="00806467" w:rsidP="00806467">
            <w:pPr>
              <w:autoSpaceDE/>
              <w:autoSpaceDN/>
              <w:adjustRightInd/>
              <w:spacing w:after="0" w:line="240" w:lineRule="auto"/>
              <w:jc w:val="left"/>
              <w:rPr>
                <w:rFonts w:eastAsia="Times New Roman"/>
                <w:bCs w:val="0"/>
                <w:i/>
                <w:iCs/>
                <w:lang w:eastAsia="fr-FR"/>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806467" w:rsidRPr="00806467" w:rsidRDefault="00806467" w:rsidP="00806467">
            <w:pPr>
              <w:autoSpaceDE/>
              <w:autoSpaceDN/>
              <w:adjustRightInd/>
              <w:spacing w:after="0" w:line="240" w:lineRule="auto"/>
              <w:jc w:val="left"/>
              <w:rPr>
                <w:rFonts w:eastAsia="Times New Roman"/>
                <w:b/>
                <w:lang w:eastAsia="fr-FR"/>
              </w:rPr>
            </w:pPr>
          </w:p>
        </w:tc>
      </w:tr>
      <w:tr w:rsidR="00806467" w:rsidRPr="00806467" w:rsidTr="009A11F9">
        <w:trPr>
          <w:trHeight w:val="315"/>
        </w:trPr>
        <w:tc>
          <w:tcPr>
            <w:tcW w:w="2282" w:type="dxa"/>
            <w:tcBorders>
              <w:top w:val="single" w:sz="4" w:space="0" w:color="auto"/>
              <w:left w:val="single" w:sz="4" w:space="0" w:color="auto"/>
              <w:bottom w:val="single" w:sz="4" w:space="0" w:color="auto"/>
              <w:right w:val="single" w:sz="4" w:space="0" w:color="auto"/>
            </w:tcBorders>
            <w:shd w:val="clear" w:color="auto" w:fill="auto"/>
            <w:noWrap/>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Cotisation de l'assurance sociale</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i/>
                <w:iCs/>
                <w:lang w:eastAsia="fr-FR"/>
              </w:rPr>
            </w:pPr>
            <w:r w:rsidRPr="00806467">
              <w:rPr>
                <w:rFonts w:eastAsia="Times New Roman"/>
                <w:bCs w:val="0"/>
                <w:i/>
                <w:iCs/>
                <w:sz w:val="22"/>
                <w:szCs w:val="22"/>
                <w:lang w:eastAsia="fr-FR"/>
              </w:rPr>
              <w:t> </w:t>
            </w:r>
          </w:p>
        </w:tc>
        <w:tc>
          <w:tcPr>
            <w:tcW w:w="1253"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Cs w:val="0"/>
                <w:lang w:eastAsia="fr-FR"/>
              </w:rPr>
            </w:pPr>
            <w:r w:rsidRPr="00806467">
              <w:rPr>
                <w:rFonts w:eastAsia="Times New Roman"/>
                <w:bCs w:val="0"/>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1057,71</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13,35</w:t>
            </w:r>
          </w:p>
        </w:tc>
      </w:tr>
      <w:tr w:rsidR="00806467" w:rsidRPr="00806467" w:rsidTr="009A11F9">
        <w:trPr>
          <w:trHeight w:val="494"/>
        </w:trPr>
        <w:tc>
          <w:tcPr>
            <w:tcW w:w="2282"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i/>
                <w:iCs/>
                <w:lang w:eastAsia="fr-FR"/>
              </w:rPr>
            </w:pPr>
            <w:r w:rsidRPr="00806467">
              <w:rPr>
                <w:rFonts w:eastAsia="Times New Roman"/>
                <w:bCs w:val="0"/>
                <w:i/>
                <w:iCs/>
                <w:sz w:val="22"/>
                <w:szCs w:val="22"/>
                <w:lang w:eastAsia="fr-FR"/>
              </w:rPr>
              <w:t>prépaiement volontaire</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i/>
                <w:iCs/>
                <w:lang w:eastAsia="fr-FR"/>
              </w:rPr>
            </w:pPr>
            <w:r w:rsidRPr="00806467">
              <w:rPr>
                <w:rFonts w:eastAsia="Times New Roman"/>
                <w:bCs w:val="0"/>
                <w:i/>
                <w:iCs/>
                <w:sz w:val="22"/>
                <w:szCs w:val="22"/>
                <w:lang w:eastAsia="fr-FR"/>
              </w:rPr>
              <w:t> </w:t>
            </w:r>
          </w:p>
        </w:tc>
        <w:tc>
          <w:tcPr>
            <w:tcW w:w="1253"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Cs w:val="0"/>
                <w:lang w:eastAsia="fr-FR"/>
              </w:rPr>
            </w:pPr>
            <w:r w:rsidRPr="00806467">
              <w:rPr>
                <w:rFonts w:eastAsia="Times New Roman"/>
                <w:bCs w:val="0"/>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223,3</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2,82</w:t>
            </w:r>
          </w:p>
        </w:tc>
      </w:tr>
      <w:tr w:rsidR="00806467" w:rsidRPr="00806467" w:rsidTr="009A11F9">
        <w:trPr>
          <w:trHeight w:val="615"/>
        </w:trPr>
        <w:tc>
          <w:tcPr>
            <w:tcW w:w="2282"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i/>
                <w:iCs/>
                <w:lang w:eastAsia="fr-FR"/>
              </w:rPr>
            </w:pPr>
            <w:r w:rsidRPr="00806467">
              <w:rPr>
                <w:rFonts w:eastAsia="Times New Roman"/>
                <w:bCs w:val="0"/>
                <w:i/>
                <w:iCs/>
                <w:sz w:val="22"/>
                <w:szCs w:val="22"/>
                <w:lang w:eastAsia="fr-FR"/>
              </w:rPr>
              <w:t>Autres revenus</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i/>
                <w:iCs/>
                <w:lang w:eastAsia="fr-FR"/>
              </w:rPr>
            </w:pPr>
            <w:r w:rsidRPr="00806467">
              <w:rPr>
                <w:rFonts w:eastAsia="Times New Roman"/>
                <w:bCs w:val="0"/>
                <w:i/>
                <w:iCs/>
                <w:sz w:val="22"/>
                <w:szCs w:val="22"/>
                <w:lang w:eastAsia="fr-FR"/>
              </w:rPr>
              <w:t> </w:t>
            </w:r>
          </w:p>
        </w:tc>
        <w:tc>
          <w:tcPr>
            <w:tcW w:w="1253" w:type="dxa"/>
            <w:tcBorders>
              <w:top w:val="single" w:sz="4" w:space="0" w:color="auto"/>
              <w:left w:val="single" w:sz="4" w:space="0" w:color="auto"/>
              <w:bottom w:val="single" w:sz="4" w:space="0" w:color="auto"/>
              <w:right w:val="single" w:sz="4" w:space="0" w:color="auto"/>
            </w:tcBorders>
            <w:shd w:val="clear" w:color="auto" w:fill="auto"/>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Cs w:val="0"/>
                <w:lang w:eastAsia="fr-FR"/>
              </w:rPr>
            </w:pPr>
            <w:r w:rsidRPr="00806467">
              <w:rPr>
                <w:rFonts w:eastAsia="Times New Roman"/>
                <w:bCs w:val="0"/>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6467" w:rsidRPr="00806467" w:rsidRDefault="00806467" w:rsidP="00806467">
            <w:pPr>
              <w:autoSpaceDE/>
              <w:autoSpaceDN/>
              <w:adjustRightInd/>
              <w:spacing w:after="0" w:line="240" w:lineRule="auto"/>
              <w:jc w:val="center"/>
              <w:rPr>
                <w:rFonts w:eastAsia="Times New Roman"/>
                <w:bCs w:val="0"/>
                <w:i/>
                <w:iCs/>
                <w:lang w:eastAsia="fr-FR"/>
              </w:rPr>
            </w:pPr>
            <w:r w:rsidRPr="00806467">
              <w:rPr>
                <w:rFonts w:eastAsia="Times New Roman"/>
                <w:bCs w:val="0"/>
                <w:i/>
                <w:iCs/>
                <w:sz w:val="22"/>
                <w:szCs w:val="22"/>
                <w:lang w:eastAsia="fr-FR"/>
              </w:rPr>
              <w:t>20,5</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0,26</w:t>
            </w:r>
          </w:p>
        </w:tc>
      </w:tr>
      <w:tr w:rsidR="00806467" w:rsidRPr="00806467" w:rsidTr="009A11F9">
        <w:trPr>
          <w:trHeight w:val="315"/>
        </w:trPr>
        <w:tc>
          <w:tcPr>
            <w:tcW w:w="2282" w:type="dxa"/>
            <w:tcBorders>
              <w:top w:val="single" w:sz="4" w:space="0" w:color="auto"/>
              <w:left w:val="single" w:sz="4" w:space="0" w:color="auto"/>
              <w:bottom w:val="single" w:sz="4" w:space="0" w:color="auto"/>
              <w:right w:val="single" w:sz="4" w:space="0" w:color="auto"/>
            </w:tcBorders>
            <w:shd w:val="clear" w:color="auto" w:fill="auto"/>
            <w:noWrap/>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Total</w:t>
            </w:r>
          </w:p>
        </w:tc>
        <w:tc>
          <w:tcPr>
            <w:tcW w:w="1839" w:type="dxa"/>
            <w:tcBorders>
              <w:top w:val="single" w:sz="4" w:space="0" w:color="auto"/>
              <w:left w:val="single" w:sz="4" w:space="0" w:color="auto"/>
              <w:bottom w:val="single" w:sz="4" w:space="0" w:color="auto"/>
              <w:right w:val="single" w:sz="4" w:space="0" w:color="auto"/>
            </w:tcBorders>
            <w:shd w:val="clear" w:color="auto" w:fill="auto"/>
            <w:noWrap/>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 </w:t>
            </w:r>
          </w:p>
        </w:tc>
        <w:tc>
          <w:tcPr>
            <w:tcW w:w="1253" w:type="dxa"/>
            <w:tcBorders>
              <w:top w:val="single" w:sz="4" w:space="0" w:color="auto"/>
              <w:left w:val="single" w:sz="4" w:space="0" w:color="auto"/>
              <w:bottom w:val="single" w:sz="4" w:space="0" w:color="auto"/>
              <w:right w:val="single" w:sz="4" w:space="0" w:color="auto"/>
            </w:tcBorders>
            <w:shd w:val="clear" w:color="auto" w:fill="auto"/>
            <w:noWrap/>
            <w:hideMark/>
          </w:tcPr>
          <w:p w:rsidR="00806467" w:rsidRPr="00806467" w:rsidRDefault="00806467" w:rsidP="00806467">
            <w:pPr>
              <w:autoSpaceDE/>
              <w:autoSpaceDN/>
              <w:adjustRightInd/>
              <w:spacing w:after="0" w:line="240" w:lineRule="auto"/>
              <w:rPr>
                <w:rFonts w:eastAsia="Times New Roman"/>
                <w:bCs w:val="0"/>
                <w:lang w:eastAsia="fr-FR"/>
              </w:rPr>
            </w:pPr>
            <w:r w:rsidRPr="00806467">
              <w:rPr>
                <w:rFonts w:eastAsia="Times New Roman"/>
                <w:bCs w:val="0"/>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left"/>
              <w:rPr>
                <w:rFonts w:ascii="Calibri" w:eastAsia="Times New Roman" w:hAnsi="Calibri"/>
                <w:bCs w:val="0"/>
                <w:lang w:eastAsia="fr-FR"/>
              </w:rPr>
            </w:pPr>
            <w:r w:rsidRPr="00806467">
              <w:rPr>
                <w:rFonts w:ascii="Calibri" w:eastAsia="Times New Roman" w:hAnsi="Calibri"/>
                <w:bCs w:val="0"/>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left"/>
              <w:rPr>
                <w:rFonts w:ascii="Calibri" w:eastAsia="Times New Roman" w:hAnsi="Calibri"/>
                <w:bCs w:val="0"/>
                <w:lang w:eastAsia="fr-FR"/>
              </w:rPr>
            </w:pPr>
            <w:r w:rsidRPr="00806467">
              <w:rPr>
                <w:rFonts w:ascii="Calibri" w:eastAsia="Times New Roman" w:hAnsi="Calibri"/>
                <w:bCs w:val="0"/>
                <w:sz w:val="22"/>
                <w:szCs w:val="22"/>
                <w:lang w:eastAsia="fr-FR"/>
              </w:rPr>
              <w:t> </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7924,66</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6467" w:rsidRPr="00806467" w:rsidRDefault="00806467" w:rsidP="00806467">
            <w:pPr>
              <w:autoSpaceDE/>
              <w:autoSpaceDN/>
              <w:adjustRightInd/>
              <w:spacing w:after="0" w:line="240" w:lineRule="auto"/>
              <w:jc w:val="center"/>
              <w:rPr>
                <w:rFonts w:eastAsia="Times New Roman"/>
                <w:b/>
                <w:lang w:eastAsia="fr-FR"/>
              </w:rPr>
            </w:pPr>
            <w:r w:rsidRPr="00806467">
              <w:rPr>
                <w:rFonts w:eastAsia="Times New Roman"/>
                <w:b/>
                <w:sz w:val="22"/>
                <w:szCs w:val="22"/>
                <w:lang w:eastAsia="fr-FR"/>
              </w:rPr>
              <w:t>100</w:t>
            </w:r>
          </w:p>
        </w:tc>
      </w:tr>
    </w:tbl>
    <w:p w:rsidR="00806467" w:rsidRDefault="00806467" w:rsidP="00587784">
      <w:pPr>
        <w:spacing w:line="312" w:lineRule="auto"/>
        <w:rPr>
          <w:lang w:eastAsia="fr-FR"/>
        </w:rPr>
      </w:pPr>
    </w:p>
    <w:p w:rsidR="00842B51" w:rsidRPr="0044670F" w:rsidRDefault="00842B51" w:rsidP="00842B51">
      <w:pPr>
        <w:spacing w:before="240" w:line="312" w:lineRule="auto"/>
      </w:pPr>
      <w:r w:rsidRPr="0044670F">
        <w:t xml:space="preserve">Les dépenses de santé relatives à la prise en charge de la tuberculose sont supportées par les « Transferts issus des revenus nationaux de l'administration publique » (alloués à la santé)  occupe </w:t>
      </w:r>
      <w:r w:rsidR="004F4937">
        <w:t>50,63</w:t>
      </w:r>
      <w:r w:rsidRPr="0044670F">
        <w:t xml:space="preserve"> %.  Ensuite viennent  les</w:t>
      </w:r>
      <w:r w:rsidR="00566A20">
        <w:t xml:space="preserve"> «transferts directs étrangers» et les «</w:t>
      </w:r>
      <w:r w:rsidRPr="00B16248">
        <w:rPr>
          <w:bCs w:val="0"/>
        </w:rPr>
        <w:t>Transferts d'origine étrangère distribués par l'administration publique</w:t>
      </w:r>
      <w:r w:rsidRPr="0044670F">
        <w:t xml:space="preserve"> » avec respectivement </w:t>
      </w:r>
      <w:r w:rsidR="004F4937">
        <w:t>19,35</w:t>
      </w:r>
      <w:r w:rsidRPr="0044670F">
        <w:t xml:space="preserve"> % et</w:t>
      </w:r>
      <w:r w:rsidR="004F4937">
        <w:t xml:space="preserve"> 13,59</w:t>
      </w:r>
      <w:r w:rsidRPr="0044670F">
        <w:t xml:space="preserve"> %</w:t>
      </w:r>
      <w:r w:rsidR="0018076C">
        <w:t>.</w:t>
      </w:r>
      <w:r w:rsidR="008C7477">
        <w:t>Ceux-ci</w:t>
      </w:r>
      <w:r w:rsidR="0018076C">
        <w:t xml:space="preserve"> sont suivis</w:t>
      </w:r>
      <w:r w:rsidR="004F4937">
        <w:t xml:space="preserve"> de la cotisation de l’assurance sociale avec 13,35</w:t>
      </w:r>
      <w:r w:rsidR="0018076C">
        <w:t xml:space="preserve"> % ; du paiement volontaire 2,82 % et les autres revenus 0,26%</w:t>
      </w:r>
      <w:r w:rsidR="008C7477">
        <w:t>.</w:t>
      </w:r>
    </w:p>
    <w:p w:rsidR="00842B51" w:rsidRDefault="00842B51" w:rsidP="00842B51">
      <w:pPr>
        <w:spacing w:line="312" w:lineRule="auto"/>
      </w:pPr>
      <w:r w:rsidRPr="0044670F">
        <w:t>On constate que l’Etat finance l’essentiel des dépenses de la lutte contre la tuberculose, cette situation est encourageante et mérite d’être pérennisée</w:t>
      </w:r>
      <w:r>
        <w:t>.</w:t>
      </w:r>
    </w:p>
    <w:p w:rsidR="00842B51" w:rsidRPr="00FF0FC5" w:rsidRDefault="00842B51" w:rsidP="00947090">
      <w:pPr>
        <w:pStyle w:val="Titre3"/>
        <w:numPr>
          <w:ilvl w:val="2"/>
          <w:numId w:val="34"/>
        </w:numPr>
        <w:rPr>
          <w:lang w:eastAsia="fr-FR"/>
        </w:rPr>
      </w:pPr>
      <w:r>
        <w:rPr>
          <w:lang w:eastAsia="fr-FR"/>
        </w:rPr>
        <w:t>R</w:t>
      </w:r>
      <w:r w:rsidRPr="00FF0FC5">
        <w:rPr>
          <w:lang w:eastAsia="fr-FR"/>
        </w:rPr>
        <w:t>égimes de financement de la santé pour la tuberculose </w:t>
      </w:r>
    </w:p>
    <w:p w:rsidR="00842B51" w:rsidRDefault="00842B51" w:rsidP="00842B51">
      <w:pPr>
        <w:spacing w:line="312" w:lineRule="auto"/>
      </w:pPr>
      <w:r w:rsidRPr="0044670F">
        <w:t>Les   régimes de financement de la santé pour la tuberculose sont récapitulés dans ce</w:t>
      </w:r>
      <w:r>
        <w:t xml:space="preserve"> tableau.</w:t>
      </w:r>
    </w:p>
    <w:p w:rsidR="00842B51" w:rsidRPr="001C1951" w:rsidRDefault="00BC77F9" w:rsidP="001C1951">
      <w:pPr>
        <w:spacing w:after="120"/>
        <w:jc w:val="center"/>
        <w:rPr>
          <w:sz w:val="20"/>
          <w:szCs w:val="20"/>
        </w:rPr>
      </w:pPr>
      <w:r w:rsidRPr="00947090">
        <w:rPr>
          <w:i/>
          <w:sz w:val="22"/>
          <w:szCs w:val="22"/>
        </w:rPr>
        <w:t xml:space="preserve">Tableau 5.2.2: </w:t>
      </w:r>
      <w:r>
        <w:rPr>
          <w:i/>
          <w:sz w:val="22"/>
          <w:szCs w:val="22"/>
        </w:rPr>
        <w:t>R</w:t>
      </w:r>
      <w:r w:rsidRPr="00947090">
        <w:rPr>
          <w:i/>
          <w:sz w:val="22"/>
          <w:szCs w:val="22"/>
        </w:rPr>
        <w:t>égimes de financement des soins de santé Tuberculose (en million de francs CFA)</w:t>
      </w:r>
      <w:r w:rsidR="001C1951">
        <w:rPr>
          <w:sz w:val="20"/>
          <w:szCs w:val="20"/>
        </w:rPr>
        <w:tab/>
      </w:r>
    </w:p>
    <w:tbl>
      <w:tblPr>
        <w:tblW w:w="9228" w:type="dxa"/>
        <w:tblInd w:w="56" w:type="dxa"/>
        <w:tblLayout w:type="fixed"/>
        <w:tblCellMar>
          <w:left w:w="70" w:type="dxa"/>
          <w:right w:w="70" w:type="dxa"/>
        </w:tblCellMar>
        <w:tblLook w:val="04A0"/>
      </w:tblPr>
      <w:tblGrid>
        <w:gridCol w:w="1654"/>
        <w:gridCol w:w="1622"/>
        <w:gridCol w:w="1558"/>
        <w:gridCol w:w="992"/>
        <w:gridCol w:w="1134"/>
        <w:gridCol w:w="1134"/>
        <w:gridCol w:w="1134"/>
      </w:tblGrid>
      <w:tr w:rsidR="0089395A" w:rsidRPr="0089395A" w:rsidTr="00750033">
        <w:trPr>
          <w:trHeight w:val="315"/>
        </w:trPr>
        <w:tc>
          <w:tcPr>
            <w:tcW w:w="483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Régimes de financement</w:t>
            </w:r>
          </w:p>
        </w:tc>
        <w:tc>
          <w:tcPr>
            <w:tcW w:w="326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Dépenses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89395A" w:rsidRPr="0089395A" w:rsidRDefault="0089395A" w:rsidP="007339A4">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w:t>
            </w:r>
          </w:p>
        </w:tc>
      </w:tr>
      <w:tr w:rsidR="007339A4" w:rsidRPr="0089395A" w:rsidTr="00750033">
        <w:trPr>
          <w:trHeight w:val="963"/>
        </w:trPr>
        <w:tc>
          <w:tcPr>
            <w:tcW w:w="1654" w:type="dxa"/>
            <w:vMerge w:val="restart"/>
            <w:tcBorders>
              <w:top w:val="nil"/>
              <w:left w:val="single" w:sz="8" w:space="0" w:color="auto"/>
              <w:bottom w:val="single" w:sz="8" w:space="0" w:color="000000"/>
              <w:right w:val="single" w:sz="8" w:space="0" w:color="auto"/>
            </w:tcBorders>
            <w:shd w:val="clear" w:color="auto" w:fill="auto"/>
            <w:vAlign w:val="bottom"/>
            <w:hideMark/>
          </w:tcPr>
          <w:p w:rsidR="0089395A" w:rsidRPr="0089395A" w:rsidRDefault="0089395A" w:rsidP="001C1951">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Régimes de l'administration publique</w:t>
            </w:r>
          </w:p>
        </w:tc>
        <w:tc>
          <w:tcPr>
            <w:tcW w:w="1622" w:type="dxa"/>
            <w:vMerge w:val="restart"/>
            <w:tcBorders>
              <w:top w:val="nil"/>
              <w:left w:val="single" w:sz="8" w:space="0" w:color="auto"/>
              <w:bottom w:val="single" w:sz="8" w:space="0" w:color="000000"/>
              <w:right w:val="single" w:sz="8" w:space="0" w:color="auto"/>
            </w:tcBorders>
            <w:shd w:val="clear" w:color="auto" w:fill="auto"/>
            <w:vAlign w:val="bottom"/>
            <w:hideMark/>
          </w:tcPr>
          <w:p w:rsidR="0089395A" w:rsidRPr="0089395A" w:rsidRDefault="0089395A" w:rsidP="0089395A">
            <w:pPr>
              <w:autoSpaceDE/>
              <w:autoSpaceDN/>
              <w:adjustRightInd/>
              <w:spacing w:after="0" w:line="240" w:lineRule="auto"/>
              <w:jc w:val="left"/>
              <w:rPr>
                <w:rFonts w:eastAsia="Times New Roman"/>
                <w:bCs w:val="0"/>
                <w:i/>
                <w:iCs/>
                <w:lang w:eastAsia="fr-FR"/>
              </w:rPr>
            </w:pPr>
            <w:r w:rsidRPr="0089395A">
              <w:rPr>
                <w:rFonts w:eastAsia="Times New Roman"/>
                <w:bCs w:val="0"/>
                <w:i/>
                <w:iCs/>
                <w:sz w:val="22"/>
                <w:szCs w:val="22"/>
                <w:lang w:eastAsia="fr-FR"/>
              </w:rPr>
              <w:t>Régimes de l'administration publique</w:t>
            </w:r>
          </w:p>
        </w:tc>
        <w:tc>
          <w:tcPr>
            <w:tcW w:w="1558" w:type="dxa"/>
            <w:tcBorders>
              <w:top w:val="nil"/>
              <w:left w:val="nil"/>
              <w:bottom w:val="single" w:sz="8" w:space="0" w:color="auto"/>
              <w:right w:val="single" w:sz="8" w:space="0" w:color="auto"/>
            </w:tcBorders>
            <w:shd w:val="clear" w:color="auto" w:fill="auto"/>
            <w:vAlign w:val="bottom"/>
            <w:hideMark/>
          </w:tcPr>
          <w:p w:rsidR="0089395A" w:rsidRPr="0089395A" w:rsidRDefault="0089395A" w:rsidP="0089395A">
            <w:pPr>
              <w:autoSpaceDE/>
              <w:autoSpaceDN/>
              <w:adjustRightInd/>
              <w:spacing w:after="0" w:line="240" w:lineRule="auto"/>
              <w:jc w:val="left"/>
              <w:rPr>
                <w:rFonts w:eastAsia="Times New Roman"/>
                <w:bCs w:val="0"/>
                <w:lang w:eastAsia="fr-FR"/>
              </w:rPr>
            </w:pPr>
            <w:r w:rsidRPr="0089395A">
              <w:rPr>
                <w:rFonts w:eastAsia="Times New Roman"/>
                <w:bCs w:val="0"/>
                <w:sz w:val="22"/>
                <w:szCs w:val="22"/>
                <w:lang w:eastAsia="fr-FR"/>
              </w:rPr>
              <w:t>Régimes de l'administration centrale</w:t>
            </w:r>
          </w:p>
        </w:tc>
        <w:tc>
          <w:tcPr>
            <w:tcW w:w="992" w:type="dxa"/>
            <w:tcBorders>
              <w:top w:val="nil"/>
              <w:left w:val="nil"/>
              <w:bottom w:val="single" w:sz="8" w:space="0" w:color="auto"/>
              <w:right w:val="single" w:sz="8"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Cs w:val="0"/>
                <w:lang w:eastAsia="fr-FR"/>
              </w:rPr>
            </w:pPr>
            <w:r w:rsidRPr="0089395A">
              <w:rPr>
                <w:rFonts w:eastAsia="Times New Roman"/>
                <w:bCs w:val="0"/>
                <w:sz w:val="22"/>
                <w:szCs w:val="22"/>
                <w:lang w:eastAsia="fr-FR"/>
              </w:rPr>
              <w:t>5004,23</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Cs w:val="0"/>
                <w:i/>
                <w:iCs/>
                <w:lang w:eastAsia="fr-FR"/>
              </w:rPr>
            </w:pPr>
            <w:r w:rsidRPr="0089395A">
              <w:rPr>
                <w:rFonts w:eastAsia="Times New Roman"/>
                <w:bCs w:val="0"/>
                <w:i/>
                <w:iCs/>
                <w:sz w:val="22"/>
                <w:szCs w:val="22"/>
                <w:lang w:eastAsia="fr-FR"/>
              </w:rPr>
              <w:t>5072,31</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Cs w:val="0"/>
                <w:i/>
                <w:iCs/>
                <w:lang w:eastAsia="fr-FR"/>
              </w:rPr>
            </w:pPr>
            <w:r w:rsidRPr="0089395A">
              <w:rPr>
                <w:rFonts w:eastAsia="Times New Roman"/>
                <w:bCs w:val="0"/>
                <w:i/>
                <w:iCs/>
                <w:sz w:val="22"/>
                <w:szCs w:val="22"/>
                <w:lang w:eastAsia="fr-FR"/>
              </w:rPr>
              <w:t>5072,31</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89395A" w:rsidRPr="0089395A" w:rsidRDefault="0089395A" w:rsidP="007339A4">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64,01</w:t>
            </w:r>
          </w:p>
        </w:tc>
      </w:tr>
      <w:tr w:rsidR="007339A4" w:rsidRPr="0089395A" w:rsidTr="00750033">
        <w:trPr>
          <w:trHeight w:val="1365"/>
        </w:trPr>
        <w:tc>
          <w:tcPr>
            <w:tcW w:w="1654" w:type="dxa"/>
            <w:vMerge/>
            <w:tcBorders>
              <w:top w:val="nil"/>
              <w:left w:val="single" w:sz="8" w:space="0" w:color="auto"/>
              <w:bottom w:val="single" w:sz="8" w:space="0" w:color="000000"/>
              <w:right w:val="single" w:sz="8" w:space="0" w:color="auto"/>
            </w:tcBorders>
            <w:vAlign w:val="center"/>
            <w:hideMark/>
          </w:tcPr>
          <w:p w:rsidR="0089395A" w:rsidRPr="0089395A" w:rsidRDefault="0089395A" w:rsidP="0089395A">
            <w:pPr>
              <w:autoSpaceDE/>
              <w:autoSpaceDN/>
              <w:adjustRightInd/>
              <w:spacing w:after="0" w:line="240" w:lineRule="auto"/>
              <w:jc w:val="left"/>
              <w:rPr>
                <w:rFonts w:eastAsia="Times New Roman"/>
                <w:b/>
                <w:lang w:eastAsia="fr-FR"/>
              </w:rPr>
            </w:pPr>
          </w:p>
        </w:tc>
        <w:tc>
          <w:tcPr>
            <w:tcW w:w="1622" w:type="dxa"/>
            <w:vMerge/>
            <w:tcBorders>
              <w:top w:val="nil"/>
              <w:left w:val="single" w:sz="8" w:space="0" w:color="auto"/>
              <w:bottom w:val="single" w:sz="8" w:space="0" w:color="000000"/>
              <w:right w:val="single" w:sz="8" w:space="0" w:color="auto"/>
            </w:tcBorders>
            <w:vAlign w:val="center"/>
            <w:hideMark/>
          </w:tcPr>
          <w:p w:rsidR="0089395A" w:rsidRPr="0089395A" w:rsidRDefault="0089395A" w:rsidP="0089395A">
            <w:pPr>
              <w:autoSpaceDE/>
              <w:autoSpaceDN/>
              <w:adjustRightInd/>
              <w:spacing w:after="0" w:line="240" w:lineRule="auto"/>
              <w:jc w:val="left"/>
              <w:rPr>
                <w:rFonts w:eastAsia="Times New Roman"/>
                <w:bCs w:val="0"/>
                <w:i/>
                <w:iCs/>
                <w:lang w:eastAsia="fr-FR"/>
              </w:rPr>
            </w:pPr>
          </w:p>
        </w:tc>
        <w:tc>
          <w:tcPr>
            <w:tcW w:w="1558" w:type="dxa"/>
            <w:tcBorders>
              <w:top w:val="nil"/>
              <w:left w:val="nil"/>
              <w:bottom w:val="single" w:sz="8" w:space="0" w:color="auto"/>
              <w:right w:val="single" w:sz="8" w:space="0" w:color="auto"/>
            </w:tcBorders>
            <w:shd w:val="clear" w:color="auto" w:fill="auto"/>
            <w:vAlign w:val="bottom"/>
            <w:hideMark/>
          </w:tcPr>
          <w:p w:rsidR="0089395A" w:rsidRPr="0089395A" w:rsidRDefault="0089395A" w:rsidP="0089395A">
            <w:pPr>
              <w:autoSpaceDE/>
              <w:autoSpaceDN/>
              <w:adjustRightInd/>
              <w:spacing w:after="0" w:line="240" w:lineRule="auto"/>
              <w:jc w:val="left"/>
              <w:rPr>
                <w:rFonts w:eastAsia="Times New Roman"/>
                <w:bCs w:val="0"/>
                <w:lang w:eastAsia="fr-FR"/>
              </w:rPr>
            </w:pPr>
            <w:r w:rsidRPr="0089395A">
              <w:rPr>
                <w:rFonts w:eastAsia="Times New Roman"/>
                <w:bCs w:val="0"/>
                <w:sz w:val="22"/>
                <w:szCs w:val="22"/>
                <w:lang w:eastAsia="fr-FR"/>
              </w:rPr>
              <w:t>Régimes de l'administration locale/régionale/des états fédérés</w:t>
            </w:r>
          </w:p>
        </w:tc>
        <w:tc>
          <w:tcPr>
            <w:tcW w:w="992" w:type="dxa"/>
            <w:tcBorders>
              <w:top w:val="nil"/>
              <w:left w:val="nil"/>
              <w:bottom w:val="single" w:sz="8" w:space="0" w:color="auto"/>
              <w:right w:val="single" w:sz="8"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Cs w:val="0"/>
                <w:lang w:eastAsia="fr-FR"/>
              </w:rPr>
            </w:pPr>
            <w:r w:rsidRPr="0089395A">
              <w:rPr>
                <w:rFonts w:eastAsia="Times New Roman"/>
                <w:bCs w:val="0"/>
                <w:sz w:val="22"/>
                <w:szCs w:val="22"/>
                <w:lang w:eastAsia="fr-FR"/>
              </w:rPr>
              <w:t>68,08</w:t>
            </w:r>
          </w:p>
        </w:tc>
        <w:tc>
          <w:tcPr>
            <w:tcW w:w="1134" w:type="dxa"/>
            <w:vMerge/>
            <w:tcBorders>
              <w:top w:val="nil"/>
              <w:left w:val="single" w:sz="8" w:space="0" w:color="auto"/>
              <w:bottom w:val="single" w:sz="8" w:space="0" w:color="000000"/>
              <w:right w:val="single" w:sz="8" w:space="0" w:color="auto"/>
            </w:tcBorders>
            <w:vAlign w:val="center"/>
            <w:hideMark/>
          </w:tcPr>
          <w:p w:rsidR="0089395A" w:rsidRPr="0089395A" w:rsidRDefault="0089395A" w:rsidP="0089395A">
            <w:pPr>
              <w:autoSpaceDE/>
              <w:autoSpaceDN/>
              <w:adjustRightInd/>
              <w:spacing w:after="0" w:line="240" w:lineRule="auto"/>
              <w:jc w:val="left"/>
              <w:rPr>
                <w:rFonts w:eastAsia="Times New Roman"/>
                <w:bCs w:val="0"/>
                <w:i/>
                <w:iCs/>
                <w:lang w:eastAsia="fr-FR"/>
              </w:rPr>
            </w:pPr>
          </w:p>
        </w:tc>
        <w:tc>
          <w:tcPr>
            <w:tcW w:w="1134" w:type="dxa"/>
            <w:vMerge/>
            <w:tcBorders>
              <w:top w:val="nil"/>
              <w:left w:val="single" w:sz="8" w:space="0" w:color="auto"/>
              <w:bottom w:val="single" w:sz="8" w:space="0" w:color="000000"/>
              <w:right w:val="single" w:sz="8" w:space="0" w:color="auto"/>
            </w:tcBorders>
            <w:vAlign w:val="center"/>
            <w:hideMark/>
          </w:tcPr>
          <w:p w:rsidR="0089395A" w:rsidRPr="0089395A" w:rsidRDefault="0089395A" w:rsidP="0089395A">
            <w:pPr>
              <w:autoSpaceDE/>
              <w:autoSpaceDN/>
              <w:adjustRightInd/>
              <w:spacing w:after="0" w:line="240" w:lineRule="auto"/>
              <w:jc w:val="left"/>
              <w:rPr>
                <w:rFonts w:eastAsia="Times New Roman"/>
                <w:bCs w:val="0"/>
                <w:i/>
                <w:iCs/>
                <w:lang w:eastAsia="fr-FR"/>
              </w:rPr>
            </w:pPr>
          </w:p>
        </w:tc>
        <w:tc>
          <w:tcPr>
            <w:tcW w:w="1134" w:type="dxa"/>
            <w:vMerge/>
            <w:tcBorders>
              <w:top w:val="nil"/>
              <w:left w:val="single" w:sz="8" w:space="0" w:color="auto"/>
              <w:bottom w:val="single" w:sz="8" w:space="0" w:color="000000"/>
              <w:right w:val="single" w:sz="8" w:space="0" w:color="auto"/>
            </w:tcBorders>
            <w:vAlign w:val="center"/>
            <w:hideMark/>
          </w:tcPr>
          <w:p w:rsidR="0089395A" w:rsidRPr="0089395A" w:rsidRDefault="0089395A" w:rsidP="00750033">
            <w:pPr>
              <w:autoSpaceDE/>
              <w:autoSpaceDN/>
              <w:adjustRightInd/>
              <w:spacing w:after="0" w:line="240" w:lineRule="auto"/>
              <w:jc w:val="center"/>
              <w:rPr>
                <w:rFonts w:eastAsia="Times New Roman"/>
                <w:b/>
                <w:lang w:eastAsia="fr-FR"/>
              </w:rPr>
            </w:pPr>
          </w:p>
        </w:tc>
      </w:tr>
      <w:tr w:rsidR="007339A4" w:rsidRPr="0089395A" w:rsidTr="00750033">
        <w:trPr>
          <w:trHeight w:val="1365"/>
        </w:trPr>
        <w:tc>
          <w:tcPr>
            <w:tcW w:w="1654" w:type="dxa"/>
            <w:vMerge w:val="restart"/>
            <w:tcBorders>
              <w:top w:val="nil"/>
              <w:left w:val="single" w:sz="4" w:space="0" w:color="auto"/>
              <w:bottom w:val="single" w:sz="4" w:space="0" w:color="000000"/>
              <w:right w:val="nil"/>
            </w:tcBorders>
            <w:shd w:val="clear" w:color="auto" w:fill="auto"/>
            <w:vAlign w:val="bottom"/>
            <w:hideMark/>
          </w:tcPr>
          <w:p w:rsidR="008C7477" w:rsidRPr="0089395A" w:rsidRDefault="008C7477" w:rsidP="0089395A">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Régimes  contributifs obligatoires de financement de la santé</w:t>
            </w:r>
          </w:p>
        </w:tc>
        <w:tc>
          <w:tcPr>
            <w:tcW w:w="1622" w:type="dxa"/>
            <w:vMerge w:val="restart"/>
            <w:tcBorders>
              <w:top w:val="nil"/>
              <w:left w:val="single" w:sz="8" w:space="0" w:color="auto"/>
              <w:right w:val="single" w:sz="8" w:space="0" w:color="auto"/>
            </w:tcBorders>
            <w:shd w:val="clear" w:color="auto" w:fill="auto"/>
            <w:vAlign w:val="bottom"/>
            <w:hideMark/>
          </w:tcPr>
          <w:p w:rsidR="008C7477" w:rsidRPr="0089395A" w:rsidRDefault="008C7477" w:rsidP="0089395A">
            <w:pPr>
              <w:autoSpaceDE/>
              <w:autoSpaceDN/>
              <w:adjustRightInd/>
              <w:spacing w:after="0" w:line="240" w:lineRule="auto"/>
              <w:jc w:val="left"/>
              <w:rPr>
                <w:rFonts w:eastAsia="Times New Roman"/>
                <w:bCs w:val="0"/>
                <w:i/>
                <w:iCs/>
                <w:lang w:eastAsia="fr-FR"/>
              </w:rPr>
            </w:pPr>
          </w:p>
          <w:p w:rsidR="008C7477" w:rsidRPr="0089395A" w:rsidRDefault="008C7477" w:rsidP="0089395A">
            <w:pPr>
              <w:spacing w:after="0" w:line="240" w:lineRule="auto"/>
              <w:jc w:val="left"/>
              <w:rPr>
                <w:rFonts w:eastAsia="Times New Roman"/>
                <w:bCs w:val="0"/>
                <w:i/>
                <w:iCs/>
                <w:lang w:eastAsia="fr-FR"/>
              </w:rPr>
            </w:pPr>
            <w:r w:rsidRPr="0089395A">
              <w:rPr>
                <w:rFonts w:eastAsia="Times New Roman"/>
                <w:bCs w:val="0"/>
                <w:i/>
                <w:iCs/>
                <w:sz w:val="22"/>
                <w:szCs w:val="22"/>
                <w:lang w:eastAsia="fr-FR"/>
              </w:rPr>
              <w:t>Régimesd'assurances maladie sociales</w:t>
            </w:r>
          </w:p>
        </w:tc>
        <w:tc>
          <w:tcPr>
            <w:tcW w:w="1558" w:type="dxa"/>
            <w:vMerge w:val="restart"/>
            <w:tcBorders>
              <w:top w:val="nil"/>
              <w:left w:val="nil"/>
              <w:right w:val="single" w:sz="8" w:space="0" w:color="auto"/>
            </w:tcBorders>
            <w:shd w:val="clear" w:color="auto" w:fill="auto"/>
            <w:vAlign w:val="bottom"/>
            <w:hideMark/>
          </w:tcPr>
          <w:p w:rsidR="008C7477" w:rsidRPr="0089395A" w:rsidRDefault="008C7477" w:rsidP="0089395A">
            <w:pPr>
              <w:autoSpaceDE/>
              <w:autoSpaceDN/>
              <w:adjustRightInd/>
              <w:spacing w:after="0" w:line="240" w:lineRule="auto"/>
              <w:jc w:val="left"/>
              <w:rPr>
                <w:rFonts w:eastAsia="Times New Roman"/>
                <w:bCs w:val="0"/>
                <w:lang w:eastAsia="fr-FR"/>
              </w:rPr>
            </w:pPr>
            <w:r w:rsidRPr="0089395A">
              <w:rPr>
                <w:rFonts w:eastAsia="Times New Roman"/>
                <w:bCs w:val="0"/>
                <w:sz w:val="22"/>
                <w:szCs w:val="22"/>
                <w:lang w:eastAsia="fr-FR"/>
              </w:rPr>
              <w:t> </w:t>
            </w:r>
          </w:p>
          <w:p w:rsidR="008C7477" w:rsidRPr="0089395A" w:rsidRDefault="008C7477" w:rsidP="0089395A">
            <w:pPr>
              <w:spacing w:after="0" w:line="240" w:lineRule="auto"/>
              <w:jc w:val="left"/>
              <w:rPr>
                <w:rFonts w:eastAsia="Times New Roman"/>
                <w:bCs w:val="0"/>
                <w:lang w:eastAsia="fr-FR"/>
              </w:rPr>
            </w:pPr>
            <w:r w:rsidRPr="0089395A">
              <w:rPr>
                <w:rFonts w:eastAsia="Times New Roman"/>
                <w:bCs w:val="0"/>
                <w:sz w:val="22"/>
                <w:szCs w:val="22"/>
                <w:lang w:eastAsia="fr-FR"/>
              </w:rPr>
              <w:t> </w:t>
            </w:r>
          </w:p>
        </w:tc>
        <w:tc>
          <w:tcPr>
            <w:tcW w:w="992" w:type="dxa"/>
            <w:tcBorders>
              <w:top w:val="nil"/>
              <w:left w:val="nil"/>
              <w:bottom w:val="nil"/>
              <w:right w:val="single" w:sz="8" w:space="0" w:color="auto"/>
            </w:tcBorders>
            <w:shd w:val="clear" w:color="auto" w:fill="auto"/>
            <w:noWrap/>
            <w:vAlign w:val="bottom"/>
            <w:hideMark/>
          </w:tcPr>
          <w:p w:rsidR="008C7477" w:rsidRPr="0089395A" w:rsidRDefault="008C7477" w:rsidP="0089395A">
            <w:pPr>
              <w:autoSpaceDE/>
              <w:autoSpaceDN/>
              <w:adjustRightInd/>
              <w:spacing w:after="0" w:line="240" w:lineRule="auto"/>
              <w:jc w:val="center"/>
              <w:rPr>
                <w:rFonts w:eastAsia="Times New Roman"/>
                <w:bCs w:val="0"/>
                <w:lang w:eastAsia="fr-FR"/>
              </w:rPr>
            </w:pPr>
            <w:r w:rsidRPr="0089395A">
              <w:rPr>
                <w:rFonts w:eastAsia="Times New Roman"/>
                <w:bCs w:val="0"/>
                <w:sz w:val="22"/>
                <w:szCs w:val="22"/>
                <w:lang w:eastAsia="fr-FR"/>
              </w:rPr>
              <w:t> </w:t>
            </w:r>
          </w:p>
        </w:tc>
        <w:tc>
          <w:tcPr>
            <w:tcW w:w="1134" w:type="dxa"/>
            <w:tcBorders>
              <w:top w:val="nil"/>
              <w:left w:val="nil"/>
              <w:bottom w:val="nil"/>
              <w:right w:val="single" w:sz="8" w:space="0" w:color="auto"/>
            </w:tcBorders>
            <w:shd w:val="clear" w:color="auto" w:fill="auto"/>
            <w:noWrap/>
            <w:vAlign w:val="bottom"/>
            <w:hideMark/>
          </w:tcPr>
          <w:p w:rsidR="008C7477" w:rsidRPr="0089395A" w:rsidRDefault="008C7477" w:rsidP="0089395A">
            <w:pPr>
              <w:autoSpaceDE/>
              <w:autoSpaceDN/>
              <w:adjustRightInd/>
              <w:spacing w:after="0" w:line="240" w:lineRule="auto"/>
              <w:jc w:val="center"/>
              <w:rPr>
                <w:rFonts w:eastAsia="Times New Roman"/>
                <w:bCs w:val="0"/>
                <w:lang w:eastAsia="fr-FR"/>
              </w:rPr>
            </w:pPr>
            <w:r w:rsidRPr="0089395A">
              <w:rPr>
                <w:rFonts w:eastAsia="Times New Roman"/>
                <w:bCs w:val="0"/>
                <w:sz w:val="22"/>
                <w:szCs w:val="22"/>
                <w:lang w:eastAsia="fr-FR"/>
              </w:rPr>
              <w:t> </w:t>
            </w:r>
          </w:p>
        </w:tc>
        <w:tc>
          <w:tcPr>
            <w:tcW w:w="1134" w:type="dxa"/>
            <w:tcBorders>
              <w:top w:val="nil"/>
              <w:left w:val="nil"/>
              <w:bottom w:val="nil"/>
              <w:right w:val="single" w:sz="8" w:space="0" w:color="auto"/>
            </w:tcBorders>
            <w:shd w:val="clear" w:color="auto" w:fill="auto"/>
            <w:noWrap/>
            <w:vAlign w:val="bottom"/>
            <w:hideMark/>
          </w:tcPr>
          <w:p w:rsidR="008C7477" w:rsidRPr="0089395A" w:rsidRDefault="008C7477" w:rsidP="0089395A">
            <w:pPr>
              <w:autoSpaceDE/>
              <w:autoSpaceDN/>
              <w:adjustRightInd/>
              <w:spacing w:after="0" w:line="240" w:lineRule="auto"/>
              <w:jc w:val="center"/>
              <w:rPr>
                <w:rFonts w:eastAsia="Times New Roman"/>
                <w:bCs w:val="0"/>
                <w:lang w:eastAsia="fr-FR"/>
              </w:rPr>
            </w:pPr>
            <w:r w:rsidRPr="0089395A">
              <w:rPr>
                <w:rFonts w:eastAsia="Times New Roman"/>
                <w:bCs w:val="0"/>
                <w:sz w:val="22"/>
                <w:szCs w:val="22"/>
                <w:lang w:eastAsia="fr-FR"/>
              </w:rPr>
              <w:t> </w:t>
            </w:r>
          </w:p>
        </w:tc>
        <w:tc>
          <w:tcPr>
            <w:tcW w:w="1134" w:type="dxa"/>
            <w:vMerge w:val="restart"/>
            <w:tcBorders>
              <w:top w:val="nil"/>
              <w:left w:val="nil"/>
              <w:right w:val="single" w:sz="8" w:space="0" w:color="auto"/>
            </w:tcBorders>
            <w:shd w:val="clear" w:color="auto" w:fill="auto"/>
            <w:noWrap/>
            <w:vAlign w:val="bottom"/>
            <w:hideMark/>
          </w:tcPr>
          <w:p w:rsidR="008C7477" w:rsidRPr="0089395A" w:rsidRDefault="008C7477" w:rsidP="007339A4">
            <w:pPr>
              <w:autoSpaceDE/>
              <w:autoSpaceDN/>
              <w:adjustRightInd/>
              <w:spacing w:after="0" w:line="240" w:lineRule="auto"/>
              <w:jc w:val="center"/>
              <w:rPr>
                <w:rFonts w:eastAsia="Times New Roman"/>
                <w:b/>
                <w:lang w:eastAsia="fr-FR"/>
              </w:rPr>
            </w:pPr>
          </w:p>
          <w:p w:rsidR="008C7477" w:rsidRPr="0089395A" w:rsidRDefault="008C7477" w:rsidP="007339A4">
            <w:pPr>
              <w:spacing w:after="0" w:line="240" w:lineRule="auto"/>
              <w:jc w:val="center"/>
              <w:rPr>
                <w:rFonts w:eastAsia="Times New Roman"/>
                <w:b/>
                <w:lang w:eastAsia="fr-FR"/>
              </w:rPr>
            </w:pPr>
            <w:r w:rsidRPr="0089395A">
              <w:rPr>
                <w:rFonts w:eastAsia="Times New Roman"/>
                <w:b/>
                <w:sz w:val="22"/>
                <w:szCs w:val="22"/>
                <w:lang w:eastAsia="fr-FR"/>
              </w:rPr>
              <w:t>13,43</w:t>
            </w:r>
          </w:p>
        </w:tc>
      </w:tr>
      <w:tr w:rsidR="007339A4" w:rsidRPr="0089395A" w:rsidTr="00750033">
        <w:trPr>
          <w:trHeight w:val="64"/>
        </w:trPr>
        <w:tc>
          <w:tcPr>
            <w:tcW w:w="1654" w:type="dxa"/>
            <w:vMerge/>
            <w:tcBorders>
              <w:top w:val="nil"/>
              <w:left w:val="single" w:sz="4" w:space="0" w:color="auto"/>
              <w:bottom w:val="single" w:sz="4" w:space="0" w:color="000000"/>
              <w:right w:val="single" w:sz="8" w:space="0" w:color="auto"/>
            </w:tcBorders>
            <w:vAlign w:val="center"/>
            <w:hideMark/>
          </w:tcPr>
          <w:p w:rsidR="008C7477" w:rsidRPr="0089395A" w:rsidRDefault="008C7477" w:rsidP="0089395A">
            <w:pPr>
              <w:autoSpaceDE/>
              <w:autoSpaceDN/>
              <w:adjustRightInd/>
              <w:spacing w:after="0" w:line="240" w:lineRule="auto"/>
              <w:jc w:val="left"/>
              <w:rPr>
                <w:rFonts w:eastAsia="Times New Roman"/>
                <w:b/>
                <w:lang w:eastAsia="fr-FR"/>
              </w:rPr>
            </w:pPr>
          </w:p>
        </w:tc>
        <w:tc>
          <w:tcPr>
            <w:tcW w:w="1622" w:type="dxa"/>
            <w:vMerge/>
            <w:tcBorders>
              <w:left w:val="single" w:sz="8" w:space="0" w:color="auto"/>
              <w:bottom w:val="single" w:sz="4" w:space="0" w:color="auto"/>
              <w:right w:val="single" w:sz="8" w:space="0" w:color="auto"/>
            </w:tcBorders>
            <w:shd w:val="clear" w:color="auto" w:fill="auto"/>
            <w:vAlign w:val="bottom"/>
            <w:hideMark/>
          </w:tcPr>
          <w:p w:rsidR="008C7477" w:rsidRPr="0089395A" w:rsidRDefault="008C7477" w:rsidP="0089395A">
            <w:pPr>
              <w:autoSpaceDE/>
              <w:autoSpaceDN/>
              <w:adjustRightInd/>
              <w:spacing w:after="0" w:line="240" w:lineRule="auto"/>
              <w:jc w:val="left"/>
              <w:rPr>
                <w:rFonts w:eastAsia="Times New Roman"/>
                <w:bCs w:val="0"/>
                <w:i/>
                <w:iCs/>
                <w:lang w:eastAsia="fr-FR"/>
              </w:rPr>
            </w:pPr>
          </w:p>
        </w:tc>
        <w:tc>
          <w:tcPr>
            <w:tcW w:w="1558" w:type="dxa"/>
            <w:vMerge/>
            <w:tcBorders>
              <w:left w:val="single" w:sz="8" w:space="0" w:color="auto"/>
              <w:bottom w:val="single" w:sz="4" w:space="0" w:color="auto"/>
              <w:right w:val="single" w:sz="8" w:space="0" w:color="auto"/>
            </w:tcBorders>
            <w:shd w:val="clear" w:color="auto" w:fill="auto"/>
            <w:vAlign w:val="bottom"/>
            <w:hideMark/>
          </w:tcPr>
          <w:p w:rsidR="008C7477" w:rsidRPr="0089395A" w:rsidRDefault="008C7477" w:rsidP="0089395A">
            <w:pPr>
              <w:autoSpaceDE/>
              <w:autoSpaceDN/>
              <w:adjustRightInd/>
              <w:spacing w:after="0" w:line="240" w:lineRule="auto"/>
              <w:jc w:val="left"/>
              <w:rPr>
                <w:rFonts w:eastAsia="Times New Roman"/>
                <w:bCs w:val="0"/>
                <w:lang w:eastAsia="fr-FR"/>
              </w:rPr>
            </w:pPr>
          </w:p>
        </w:tc>
        <w:tc>
          <w:tcPr>
            <w:tcW w:w="992" w:type="dxa"/>
            <w:tcBorders>
              <w:top w:val="nil"/>
              <w:left w:val="single" w:sz="8" w:space="0" w:color="auto"/>
              <w:bottom w:val="nil"/>
              <w:right w:val="single" w:sz="8" w:space="0" w:color="auto"/>
            </w:tcBorders>
            <w:shd w:val="clear" w:color="auto" w:fill="auto"/>
            <w:noWrap/>
            <w:vAlign w:val="bottom"/>
            <w:hideMark/>
          </w:tcPr>
          <w:p w:rsidR="008C7477" w:rsidRPr="0089395A" w:rsidRDefault="008C7477" w:rsidP="0089395A">
            <w:pPr>
              <w:autoSpaceDE/>
              <w:autoSpaceDN/>
              <w:adjustRightInd/>
              <w:spacing w:after="0" w:line="240" w:lineRule="auto"/>
              <w:jc w:val="center"/>
              <w:rPr>
                <w:rFonts w:eastAsia="Times New Roman"/>
                <w:bCs w:val="0"/>
                <w:lang w:eastAsia="fr-FR"/>
              </w:rPr>
            </w:pPr>
            <w:r w:rsidRPr="0089395A">
              <w:rPr>
                <w:rFonts w:eastAsia="Times New Roman"/>
                <w:bCs w:val="0"/>
                <w:sz w:val="22"/>
                <w:szCs w:val="22"/>
                <w:lang w:eastAsia="fr-FR"/>
              </w:rPr>
              <w:t>1064,28</w:t>
            </w:r>
          </w:p>
        </w:tc>
        <w:tc>
          <w:tcPr>
            <w:tcW w:w="1134" w:type="dxa"/>
            <w:tcBorders>
              <w:top w:val="nil"/>
              <w:left w:val="nil"/>
              <w:bottom w:val="nil"/>
              <w:right w:val="single" w:sz="8" w:space="0" w:color="auto"/>
            </w:tcBorders>
            <w:shd w:val="clear" w:color="auto" w:fill="auto"/>
            <w:noWrap/>
            <w:vAlign w:val="bottom"/>
            <w:hideMark/>
          </w:tcPr>
          <w:p w:rsidR="008C7477" w:rsidRPr="0089395A" w:rsidRDefault="008C7477" w:rsidP="0089395A">
            <w:pPr>
              <w:autoSpaceDE/>
              <w:autoSpaceDN/>
              <w:adjustRightInd/>
              <w:spacing w:after="0" w:line="240" w:lineRule="auto"/>
              <w:jc w:val="center"/>
              <w:rPr>
                <w:rFonts w:eastAsia="Times New Roman"/>
                <w:bCs w:val="0"/>
                <w:lang w:eastAsia="fr-FR"/>
              </w:rPr>
            </w:pPr>
            <w:r w:rsidRPr="0089395A">
              <w:rPr>
                <w:rFonts w:eastAsia="Times New Roman"/>
                <w:bCs w:val="0"/>
                <w:sz w:val="22"/>
                <w:szCs w:val="22"/>
                <w:lang w:eastAsia="fr-FR"/>
              </w:rPr>
              <w:t>1064,28</w:t>
            </w:r>
          </w:p>
        </w:tc>
        <w:tc>
          <w:tcPr>
            <w:tcW w:w="1134" w:type="dxa"/>
            <w:tcBorders>
              <w:top w:val="nil"/>
              <w:left w:val="nil"/>
              <w:bottom w:val="nil"/>
              <w:right w:val="single" w:sz="8" w:space="0" w:color="auto"/>
            </w:tcBorders>
            <w:shd w:val="clear" w:color="auto" w:fill="auto"/>
            <w:noWrap/>
            <w:vAlign w:val="bottom"/>
            <w:hideMark/>
          </w:tcPr>
          <w:p w:rsidR="008C7477" w:rsidRPr="0089395A" w:rsidRDefault="008C7477" w:rsidP="0089395A">
            <w:pPr>
              <w:autoSpaceDE/>
              <w:autoSpaceDN/>
              <w:adjustRightInd/>
              <w:spacing w:after="0" w:line="240" w:lineRule="auto"/>
              <w:jc w:val="center"/>
              <w:rPr>
                <w:rFonts w:eastAsia="Times New Roman"/>
                <w:bCs w:val="0"/>
                <w:lang w:eastAsia="fr-FR"/>
              </w:rPr>
            </w:pPr>
            <w:r w:rsidRPr="0089395A">
              <w:rPr>
                <w:rFonts w:eastAsia="Times New Roman"/>
                <w:bCs w:val="0"/>
                <w:sz w:val="22"/>
                <w:szCs w:val="22"/>
                <w:lang w:eastAsia="fr-FR"/>
              </w:rPr>
              <w:t>1064,28</w:t>
            </w:r>
          </w:p>
        </w:tc>
        <w:tc>
          <w:tcPr>
            <w:tcW w:w="1134" w:type="dxa"/>
            <w:vMerge/>
            <w:tcBorders>
              <w:left w:val="single" w:sz="4" w:space="0" w:color="auto"/>
              <w:bottom w:val="single" w:sz="4" w:space="0" w:color="auto"/>
              <w:right w:val="single" w:sz="8" w:space="0" w:color="auto"/>
            </w:tcBorders>
            <w:shd w:val="clear" w:color="auto" w:fill="auto"/>
            <w:noWrap/>
            <w:vAlign w:val="bottom"/>
            <w:hideMark/>
          </w:tcPr>
          <w:p w:rsidR="008C7477" w:rsidRPr="0089395A" w:rsidRDefault="008C7477" w:rsidP="00750033">
            <w:pPr>
              <w:autoSpaceDE/>
              <w:autoSpaceDN/>
              <w:adjustRightInd/>
              <w:spacing w:after="0" w:line="240" w:lineRule="auto"/>
              <w:jc w:val="center"/>
              <w:rPr>
                <w:rFonts w:eastAsia="Times New Roman"/>
                <w:b/>
                <w:lang w:eastAsia="fr-FR"/>
              </w:rPr>
            </w:pPr>
          </w:p>
        </w:tc>
      </w:tr>
      <w:tr w:rsidR="007339A4" w:rsidRPr="0089395A" w:rsidTr="00750033">
        <w:trPr>
          <w:trHeight w:val="1356"/>
        </w:trPr>
        <w:tc>
          <w:tcPr>
            <w:tcW w:w="1654" w:type="dxa"/>
            <w:vMerge w:val="restart"/>
            <w:tcBorders>
              <w:top w:val="nil"/>
              <w:left w:val="single" w:sz="8" w:space="0" w:color="auto"/>
              <w:bottom w:val="nil"/>
              <w:right w:val="single" w:sz="8" w:space="0" w:color="auto"/>
            </w:tcBorders>
            <w:shd w:val="clear" w:color="auto" w:fill="auto"/>
            <w:vAlign w:val="bottom"/>
            <w:hideMark/>
          </w:tcPr>
          <w:p w:rsidR="0089395A" w:rsidRPr="0089395A" w:rsidRDefault="0089395A" w:rsidP="001C1951">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Régimes volontaire de paiement privé des soins de santé</w:t>
            </w:r>
          </w:p>
        </w:tc>
        <w:tc>
          <w:tcPr>
            <w:tcW w:w="1622" w:type="dxa"/>
            <w:vMerge w:val="restart"/>
            <w:tcBorders>
              <w:top w:val="nil"/>
              <w:left w:val="single" w:sz="8" w:space="0" w:color="auto"/>
              <w:bottom w:val="nil"/>
              <w:right w:val="single" w:sz="8" w:space="0" w:color="auto"/>
            </w:tcBorders>
            <w:shd w:val="clear" w:color="auto" w:fill="auto"/>
            <w:vAlign w:val="bottom"/>
            <w:hideMark/>
          </w:tcPr>
          <w:p w:rsidR="0089395A" w:rsidRPr="0089395A" w:rsidRDefault="0089395A" w:rsidP="0089395A">
            <w:pPr>
              <w:autoSpaceDE/>
              <w:autoSpaceDN/>
              <w:adjustRightInd/>
              <w:spacing w:after="0" w:line="240" w:lineRule="auto"/>
              <w:jc w:val="left"/>
              <w:rPr>
                <w:rFonts w:eastAsia="Times New Roman"/>
                <w:bCs w:val="0"/>
                <w:i/>
                <w:iCs/>
                <w:lang w:eastAsia="fr-FR"/>
              </w:rPr>
            </w:pPr>
            <w:r w:rsidRPr="0089395A">
              <w:rPr>
                <w:rFonts w:eastAsia="Times New Roman"/>
                <w:bCs w:val="0"/>
                <w:i/>
                <w:iCs/>
                <w:sz w:val="22"/>
                <w:szCs w:val="22"/>
                <w:lang w:eastAsia="fr-FR"/>
              </w:rPr>
              <w:t>Systèmes de financement des ISBLSM (y compris les agences de développement)</w:t>
            </w:r>
          </w:p>
        </w:tc>
        <w:tc>
          <w:tcPr>
            <w:tcW w:w="1558" w:type="dxa"/>
            <w:tcBorders>
              <w:top w:val="nil"/>
              <w:left w:val="nil"/>
              <w:bottom w:val="single" w:sz="8" w:space="0" w:color="auto"/>
              <w:right w:val="single" w:sz="8" w:space="0" w:color="auto"/>
            </w:tcBorders>
            <w:shd w:val="clear" w:color="auto" w:fill="auto"/>
            <w:vAlign w:val="bottom"/>
            <w:hideMark/>
          </w:tcPr>
          <w:p w:rsidR="0089395A" w:rsidRPr="0089395A" w:rsidRDefault="0089395A" w:rsidP="0089395A">
            <w:pPr>
              <w:autoSpaceDE/>
              <w:autoSpaceDN/>
              <w:adjustRightInd/>
              <w:spacing w:after="0" w:line="240" w:lineRule="auto"/>
              <w:jc w:val="left"/>
              <w:rPr>
                <w:rFonts w:eastAsia="Times New Roman"/>
                <w:bCs w:val="0"/>
                <w:lang w:eastAsia="fr-FR"/>
              </w:rPr>
            </w:pPr>
            <w:r w:rsidRPr="0089395A">
              <w:rPr>
                <w:rFonts w:eastAsia="Times New Roman"/>
                <w:bCs w:val="0"/>
                <w:sz w:val="22"/>
                <w:szCs w:val="22"/>
                <w:lang w:eastAsia="fr-FR"/>
              </w:rPr>
              <w:t>Régimes de financement des ISBLSM (à l'exception du HF.2.2.2)</w:t>
            </w:r>
          </w:p>
        </w:tc>
        <w:tc>
          <w:tcPr>
            <w:tcW w:w="992" w:type="dxa"/>
            <w:tcBorders>
              <w:top w:val="nil"/>
              <w:left w:val="nil"/>
              <w:bottom w:val="single" w:sz="8" w:space="0" w:color="auto"/>
              <w:right w:val="single" w:sz="8"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Cs w:val="0"/>
                <w:lang w:eastAsia="fr-FR"/>
              </w:rPr>
            </w:pPr>
            <w:r w:rsidRPr="0089395A">
              <w:rPr>
                <w:rFonts w:eastAsia="Times New Roman"/>
                <w:bCs w:val="0"/>
                <w:sz w:val="22"/>
                <w:szCs w:val="22"/>
                <w:lang w:eastAsia="fr-FR"/>
              </w:rPr>
              <w:t>1533,53</w:t>
            </w:r>
          </w:p>
        </w:tc>
        <w:tc>
          <w:tcPr>
            <w:tcW w:w="1134" w:type="dxa"/>
            <w:vMerge w:val="restart"/>
            <w:tcBorders>
              <w:top w:val="nil"/>
              <w:left w:val="single" w:sz="8" w:space="0" w:color="auto"/>
              <w:bottom w:val="nil"/>
              <w:right w:val="single" w:sz="8"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Cs w:val="0"/>
                <w:i/>
                <w:iCs/>
                <w:lang w:eastAsia="fr-FR"/>
              </w:rPr>
            </w:pPr>
            <w:r w:rsidRPr="0089395A">
              <w:rPr>
                <w:rFonts w:eastAsia="Times New Roman"/>
                <w:bCs w:val="0"/>
                <w:i/>
                <w:iCs/>
                <w:sz w:val="22"/>
                <w:szCs w:val="22"/>
                <w:lang w:eastAsia="fr-FR"/>
              </w:rPr>
              <w:t>1533,53</w:t>
            </w:r>
          </w:p>
        </w:tc>
        <w:tc>
          <w:tcPr>
            <w:tcW w:w="1134" w:type="dxa"/>
            <w:vMerge w:val="restart"/>
            <w:tcBorders>
              <w:top w:val="nil"/>
              <w:left w:val="single" w:sz="8" w:space="0" w:color="auto"/>
              <w:bottom w:val="nil"/>
              <w:right w:val="single" w:sz="8"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Cs w:val="0"/>
                <w:i/>
                <w:iCs/>
                <w:lang w:eastAsia="fr-FR"/>
              </w:rPr>
            </w:pPr>
            <w:r w:rsidRPr="0089395A">
              <w:rPr>
                <w:rFonts w:eastAsia="Times New Roman"/>
                <w:bCs w:val="0"/>
                <w:i/>
                <w:iCs/>
                <w:sz w:val="22"/>
                <w:szCs w:val="22"/>
                <w:lang w:eastAsia="fr-FR"/>
              </w:rPr>
              <w:t>1533,53</w:t>
            </w:r>
          </w:p>
        </w:tc>
        <w:tc>
          <w:tcPr>
            <w:tcW w:w="1134" w:type="dxa"/>
            <w:vMerge w:val="restart"/>
            <w:tcBorders>
              <w:top w:val="nil"/>
              <w:left w:val="single" w:sz="8" w:space="0" w:color="auto"/>
              <w:bottom w:val="nil"/>
              <w:right w:val="single" w:sz="8" w:space="0" w:color="auto"/>
            </w:tcBorders>
            <w:shd w:val="clear" w:color="auto" w:fill="auto"/>
            <w:noWrap/>
            <w:vAlign w:val="bottom"/>
            <w:hideMark/>
          </w:tcPr>
          <w:p w:rsidR="0089395A" w:rsidRPr="0089395A" w:rsidRDefault="0089395A" w:rsidP="007339A4">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19,4</w:t>
            </w:r>
          </w:p>
        </w:tc>
      </w:tr>
      <w:tr w:rsidR="007339A4" w:rsidRPr="0089395A" w:rsidTr="00750033">
        <w:trPr>
          <w:trHeight w:val="1252"/>
        </w:trPr>
        <w:tc>
          <w:tcPr>
            <w:tcW w:w="1654" w:type="dxa"/>
            <w:vMerge/>
            <w:tcBorders>
              <w:top w:val="nil"/>
              <w:left w:val="single" w:sz="8" w:space="0" w:color="auto"/>
              <w:bottom w:val="nil"/>
              <w:right w:val="single" w:sz="8" w:space="0" w:color="auto"/>
            </w:tcBorders>
            <w:vAlign w:val="center"/>
            <w:hideMark/>
          </w:tcPr>
          <w:p w:rsidR="0089395A" w:rsidRPr="0089395A" w:rsidRDefault="0089395A" w:rsidP="001C1951">
            <w:pPr>
              <w:autoSpaceDE/>
              <w:autoSpaceDN/>
              <w:adjustRightInd/>
              <w:spacing w:after="0" w:line="240" w:lineRule="auto"/>
              <w:jc w:val="center"/>
              <w:rPr>
                <w:rFonts w:eastAsia="Times New Roman"/>
                <w:b/>
                <w:lang w:eastAsia="fr-FR"/>
              </w:rPr>
            </w:pPr>
          </w:p>
        </w:tc>
        <w:tc>
          <w:tcPr>
            <w:tcW w:w="1622" w:type="dxa"/>
            <w:vMerge/>
            <w:tcBorders>
              <w:top w:val="nil"/>
              <w:left w:val="single" w:sz="8" w:space="0" w:color="auto"/>
              <w:bottom w:val="nil"/>
              <w:right w:val="single" w:sz="8" w:space="0" w:color="auto"/>
            </w:tcBorders>
            <w:vAlign w:val="center"/>
            <w:hideMark/>
          </w:tcPr>
          <w:p w:rsidR="0089395A" w:rsidRPr="0089395A" w:rsidRDefault="0089395A" w:rsidP="0089395A">
            <w:pPr>
              <w:autoSpaceDE/>
              <w:autoSpaceDN/>
              <w:adjustRightInd/>
              <w:spacing w:after="0" w:line="240" w:lineRule="auto"/>
              <w:jc w:val="left"/>
              <w:rPr>
                <w:rFonts w:eastAsia="Times New Roman"/>
                <w:bCs w:val="0"/>
                <w:i/>
                <w:iCs/>
                <w:lang w:eastAsia="fr-FR"/>
              </w:rPr>
            </w:pPr>
          </w:p>
        </w:tc>
        <w:tc>
          <w:tcPr>
            <w:tcW w:w="1558" w:type="dxa"/>
            <w:tcBorders>
              <w:top w:val="nil"/>
              <w:left w:val="nil"/>
              <w:bottom w:val="nil"/>
              <w:right w:val="single" w:sz="8" w:space="0" w:color="auto"/>
            </w:tcBorders>
            <w:shd w:val="clear" w:color="auto" w:fill="auto"/>
            <w:vAlign w:val="bottom"/>
            <w:hideMark/>
          </w:tcPr>
          <w:p w:rsidR="0089395A" w:rsidRPr="0089395A" w:rsidRDefault="0089395A" w:rsidP="0089395A">
            <w:pPr>
              <w:autoSpaceDE/>
              <w:autoSpaceDN/>
              <w:adjustRightInd/>
              <w:spacing w:after="0" w:line="240" w:lineRule="auto"/>
              <w:jc w:val="left"/>
              <w:rPr>
                <w:rFonts w:eastAsia="Times New Roman"/>
                <w:bCs w:val="0"/>
                <w:lang w:eastAsia="fr-FR"/>
              </w:rPr>
            </w:pPr>
            <w:r w:rsidRPr="0089395A">
              <w:rPr>
                <w:rFonts w:eastAsia="Times New Roman"/>
                <w:bCs w:val="0"/>
                <w:sz w:val="22"/>
                <w:szCs w:val="22"/>
                <w:lang w:eastAsia="fr-FR"/>
              </w:rPr>
              <w:t>Régimes des agences de développement étrangères résidentes</w:t>
            </w:r>
          </w:p>
        </w:tc>
        <w:tc>
          <w:tcPr>
            <w:tcW w:w="992" w:type="dxa"/>
            <w:tcBorders>
              <w:top w:val="nil"/>
              <w:left w:val="nil"/>
              <w:bottom w:val="nil"/>
              <w:right w:val="single" w:sz="8"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Cs w:val="0"/>
                <w:lang w:eastAsia="fr-FR"/>
              </w:rPr>
            </w:pPr>
            <w:r w:rsidRPr="0089395A">
              <w:rPr>
                <w:rFonts w:eastAsia="Times New Roman"/>
                <w:bCs w:val="0"/>
                <w:sz w:val="22"/>
                <w:szCs w:val="22"/>
                <w:lang w:eastAsia="fr-FR"/>
              </w:rPr>
              <w:t>1533,53</w:t>
            </w:r>
          </w:p>
        </w:tc>
        <w:tc>
          <w:tcPr>
            <w:tcW w:w="1134" w:type="dxa"/>
            <w:vMerge/>
            <w:tcBorders>
              <w:top w:val="nil"/>
              <w:left w:val="single" w:sz="8" w:space="0" w:color="auto"/>
              <w:bottom w:val="nil"/>
              <w:right w:val="single" w:sz="8" w:space="0" w:color="auto"/>
            </w:tcBorders>
            <w:vAlign w:val="center"/>
            <w:hideMark/>
          </w:tcPr>
          <w:p w:rsidR="0089395A" w:rsidRPr="0089395A" w:rsidRDefault="0089395A" w:rsidP="0089395A">
            <w:pPr>
              <w:autoSpaceDE/>
              <w:autoSpaceDN/>
              <w:adjustRightInd/>
              <w:spacing w:after="0" w:line="240" w:lineRule="auto"/>
              <w:jc w:val="left"/>
              <w:rPr>
                <w:rFonts w:eastAsia="Times New Roman"/>
                <w:bCs w:val="0"/>
                <w:i/>
                <w:iCs/>
                <w:lang w:eastAsia="fr-FR"/>
              </w:rPr>
            </w:pPr>
          </w:p>
        </w:tc>
        <w:tc>
          <w:tcPr>
            <w:tcW w:w="1134" w:type="dxa"/>
            <w:vMerge/>
            <w:tcBorders>
              <w:top w:val="nil"/>
              <w:left w:val="single" w:sz="8" w:space="0" w:color="auto"/>
              <w:bottom w:val="nil"/>
              <w:right w:val="single" w:sz="8" w:space="0" w:color="auto"/>
            </w:tcBorders>
            <w:vAlign w:val="center"/>
            <w:hideMark/>
          </w:tcPr>
          <w:p w:rsidR="0089395A" w:rsidRPr="0089395A" w:rsidRDefault="0089395A" w:rsidP="0089395A">
            <w:pPr>
              <w:autoSpaceDE/>
              <w:autoSpaceDN/>
              <w:adjustRightInd/>
              <w:spacing w:after="0" w:line="240" w:lineRule="auto"/>
              <w:jc w:val="left"/>
              <w:rPr>
                <w:rFonts w:eastAsia="Times New Roman"/>
                <w:bCs w:val="0"/>
                <w:i/>
                <w:iCs/>
                <w:lang w:eastAsia="fr-FR"/>
              </w:rPr>
            </w:pPr>
          </w:p>
        </w:tc>
        <w:tc>
          <w:tcPr>
            <w:tcW w:w="1134" w:type="dxa"/>
            <w:vMerge/>
            <w:tcBorders>
              <w:top w:val="nil"/>
              <w:left w:val="single" w:sz="8" w:space="0" w:color="auto"/>
              <w:bottom w:val="nil"/>
              <w:right w:val="single" w:sz="8" w:space="0" w:color="auto"/>
            </w:tcBorders>
            <w:vAlign w:val="center"/>
            <w:hideMark/>
          </w:tcPr>
          <w:p w:rsidR="0089395A" w:rsidRPr="0089395A" w:rsidRDefault="0089395A" w:rsidP="00750033">
            <w:pPr>
              <w:autoSpaceDE/>
              <w:autoSpaceDN/>
              <w:adjustRightInd/>
              <w:spacing w:after="0" w:line="240" w:lineRule="auto"/>
              <w:jc w:val="center"/>
              <w:rPr>
                <w:rFonts w:eastAsia="Times New Roman"/>
                <w:b/>
                <w:lang w:eastAsia="fr-FR"/>
              </w:rPr>
            </w:pPr>
          </w:p>
        </w:tc>
      </w:tr>
      <w:tr w:rsidR="007339A4" w:rsidRPr="0089395A" w:rsidTr="00750033">
        <w:trPr>
          <w:trHeight w:val="920"/>
        </w:trPr>
        <w:tc>
          <w:tcPr>
            <w:tcW w:w="1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395A" w:rsidRPr="0089395A" w:rsidRDefault="0089395A" w:rsidP="001C1951">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Régimes de financement des entreprises</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left"/>
              <w:rPr>
                <w:rFonts w:eastAsia="Times New Roman"/>
                <w:b/>
                <w:i/>
                <w:iCs/>
                <w:lang w:eastAsia="fr-FR"/>
              </w:rPr>
            </w:pPr>
            <w:r w:rsidRPr="0089395A">
              <w:rPr>
                <w:rFonts w:eastAsia="Times New Roman"/>
                <w:b/>
                <w:i/>
                <w:iCs/>
                <w:sz w:val="22"/>
                <w:szCs w:val="22"/>
                <w:lang w:eastAsia="fr-FR"/>
              </w:rPr>
              <w:t>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left"/>
              <w:rPr>
                <w:rFonts w:eastAsia="Times New Roman"/>
                <w:b/>
                <w:lang w:eastAsia="fr-FR"/>
              </w:rPr>
            </w:pPr>
            <w:r w:rsidRPr="0089395A">
              <w:rPr>
                <w:rFonts w:eastAsia="Times New Roman"/>
                <w:b/>
                <w:sz w:val="22"/>
                <w:szCs w:val="22"/>
                <w:lang w:eastAsia="fr-FR"/>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Cs w:val="0"/>
                <w:i/>
                <w:iCs/>
                <w:lang w:eastAsia="fr-FR"/>
              </w:rPr>
            </w:pPr>
            <w:r w:rsidRPr="0089395A">
              <w:rPr>
                <w:rFonts w:eastAsia="Times New Roman"/>
                <w:bCs w:val="0"/>
                <w:i/>
                <w:iCs/>
                <w:sz w:val="22"/>
                <w:szCs w:val="22"/>
                <w:lang w:eastAsia="fr-FR"/>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20,92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9395A" w:rsidRPr="0089395A" w:rsidRDefault="0089395A" w:rsidP="007339A4">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0,26</w:t>
            </w:r>
          </w:p>
        </w:tc>
      </w:tr>
      <w:tr w:rsidR="007339A4" w:rsidRPr="0089395A" w:rsidTr="00750033">
        <w:trPr>
          <w:trHeight w:val="991"/>
        </w:trPr>
        <w:tc>
          <w:tcPr>
            <w:tcW w:w="1654" w:type="dxa"/>
            <w:tcBorders>
              <w:top w:val="nil"/>
              <w:left w:val="single" w:sz="4" w:space="0" w:color="auto"/>
              <w:bottom w:val="single" w:sz="4" w:space="0" w:color="auto"/>
              <w:right w:val="single" w:sz="4" w:space="0" w:color="auto"/>
            </w:tcBorders>
            <w:shd w:val="clear" w:color="auto" w:fill="auto"/>
            <w:vAlign w:val="bottom"/>
            <w:hideMark/>
          </w:tcPr>
          <w:p w:rsidR="0089395A" w:rsidRPr="0089395A" w:rsidRDefault="0089395A" w:rsidP="001C1951">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Régimes d'assurance maladie facultative</w:t>
            </w:r>
          </w:p>
        </w:tc>
        <w:tc>
          <w:tcPr>
            <w:tcW w:w="1622"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left"/>
              <w:rPr>
                <w:rFonts w:eastAsia="Times New Roman"/>
                <w:b/>
                <w:i/>
                <w:iCs/>
                <w:lang w:eastAsia="fr-FR"/>
              </w:rPr>
            </w:pPr>
            <w:r w:rsidRPr="0089395A">
              <w:rPr>
                <w:rFonts w:eastAsia="Times New Roman"/>
                <w:b/>
                <w:i/>
                <w:iCs/>
                <w:sz w:val="22"/>
                <w:szCs w:val="22"/>
                <w:lang w:eastAsia="fr-FR"/>
              </w:rPr>
              <w:t> </w:t>
            </w:r>
          </w:p>
        </w:tc>
        <w:tc>
          <w:tcPr>
            <w:tcW w:w="1558"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left"/>
              <w:rPr>
                <w:rFonts w:eastAsia="Times New Roman"/>
                <w:b/>
                <w:lang w:eastAsia="fr-FR"/>
              </w:rPr>
            </w:pPr>
            <w:r w:rsidRPr="0089395A">
              <w:rPr>
                <w:rFonts w:eastAsia="Times New Roman"/>
                <w:b/>
                <w:sz w:val="22"/>
                <w:szCs w:val="22"/>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Cs w:val="0"/>
                <w:i/>
                <w:iCs/>
                <w:lang w:eastAsia="fr-FR"/>
              </w:rPr>
            </w:pPr>
            <w:r w:rsidRPr="0089395A">
              <w:rPr>
                <w:rFonts w:eastAsia="Times New Roman"/>
                <w:bCs w:val="0"/>
                <w:i/>
                <w:iCs/>
                <w:sz w:val="22"/>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233,6</w:t>
            </w:r>
          </w:p>
        </w:tc>
        <w:tc>
          <w:tcPr>
            <w:tcW w:w="1134"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7339A4">
            <w:pPr>
              <w:autoSpaceDE/>
              <w:autoSpaceDN/>
              <w:adjustRightInd/>
              <w:spacing w:after="0" w:line="240" w:lineRule="auto"/>
              <w:jc w:val="center"/>
              <w:rPr>
                <w:rFonts w:eastAsia="Times New Roman"/>
                <w:b/>
                <w:lang w:eastAsia="fr-FR"/>
              </w:rPr>
            </w:pPr>
            <w:r w:rsidRPr="0089395A">
              <w:rPr>
                <w:rFonts w:eastAsia="Times New Roman"/>
                <w:b/>
                <w:sz w:val="22"/>
                <w:szCs w:val="22"/>
                <w:lang w:eastAsia="fr-FR"/>
              </w:rPr>
              <w:t>2,95</w:t>
            </w:r>
          </w:p>
        </w:tc>
      </w:tr>
      <w:tr w:rsidR="007339A4" w:rsidRPr="0089395A" w:rsidTr="00750033">
        <w:trPr>
          <w:trHeight w:val="396"/>
        </w:trPr>
        <w:tc>
          <w:tcPr>
            <w:tcW w:w="1654" w:type="dxa"/>
            <w:tcBorders>
              <w:top w:val="nil"/>
              <w:left w:val="single" w:sz="4" w:space="0" w:color="auto"/>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left"/>
              <w:rPr>
                <w:rFonts w:ascii="Calibri" w:eastAsia="Times New Roman" w:hAnsi="Calibri"/>
                <w:bCs w:val="0"/>
                <w:lang w:eastAsia="fr-FR"/>
              </w:rPr>
            </w:pPr>
            <w:r w:rsidRPr="0089395A">
              <w:rPr>
                <w:rFonts w:ascii="Calibri" w:eastAsia="Times New Roman" w:hAnsi="Calibri"/>
                <w:bCs w:val="0"/>
                <w:sz w:val="22"/>
                <w:szCs w:val="22"/>
                <w:lang w:eastAsia="fr-FR"/>
              </w:rPr>
              <w:t>Total</w:t>
            </w:r>
          </w:p>
        </w:tc>
        <w:tc>
          <w:tcPr>
            <w:tcW w:w="1622"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left"/>
              <w:rPr>
                <w:rFonts w:ascii="Calibri" w:eastAsia="Times New Roman" w:hAnsi="Calibri"/>
                <w:bCs w:val="0"/>
                <w:lang w:eastAsia="fr-FR"/>
              </w:rPr>
            </w:pPr>
            <w:r w:rsidRPr="0089395A">
              <w:rPr>
                <w:rFonts w:ascii="Calibri" w:eastAsia="Times New Roman" w:hAnsi="Calibri"/>
                <w:bCs w:val="0"/>
                <w:sz w:val="22"/>
                <w:szCs w:val="22"/>
                <w:lang w:eastAsia="fr-FR"/>
              </w:rPr>
              <w:t> </w:t>
            </w:r>
          </w:p>
        </w:tc>
        <w:tc>
          <w:tcPr>
            <w:tcW w:w="1558"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left"/>
              <w:rPr>
                <w:rFonts w:ascii="Calibri" w:eastAsia="Times New Roman" w:hAnsi="Calibri"/>
                <w:bCs w:val="0"/>
                <w:lang w:eastAsia="fr-FR"/>
              </w:rPr>
            </w:pPr>
            <w:r w:rsidRPr="0089395A">
              <w:rPr>
                <w:rFonts w:ascii="Calibri" w:eastAsia="Times New Roman" w:hAnsi="Calibri"/>
                <w:bCs w:val="0"/>
                <w:sz w:val="22"/>
                <w:szCs w:val="22"/>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left"/>
              <w:rPr>
                <w:rFonts w:ascii="Calibri" w:eastAsia="Times New Roman" w:hAnsi="Calibri"/>
                <w:bCs w:val="0"/>
                <w:lang w:eastAsia="fr-FR"/>
              </w:rPr>
            </w:pPr>
            <w:r w:rsidRPr="0089395A">
              <w:rPr>
                <w:rFonts w:ascii="Calibri" w:eastAsia="Times New Roman" w:hAnsi="Calibri"/>
                <w:bCs w:val="0"/>
                <w:sz w:val="22"/>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89395A">
            <w:pPr>
              <w:autoSpaceDE/>
              <w:autoSpaceDN/>
              <w:adjustRightInd/>
              <w:spacing w:after="0" w:line="240" w:lineRule="auto"/>
              <w:jc w:val="left"/>
              <w:rPr>
                <w:rFonts w:ascii="Calibri" w:eastAsia="Times New Roman" w:hAnsi="Calibri"/>
                <w:bCs w:val="0"/>
                <w:lang w:eastAsia="fr-FR"/>
              </w:rPr>
            </w:pPr>
            <w:r w:rsidRPr="0089395A">
              <w:rPr>
                <w:rFonts w:ascii="Calibri" w:eastAsia="Times New Roman" w:hAnsi="Calibri"/>
                <w:bCs w:val="0"/>
                <w:sz w:val="22"/>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750033">
            <w:pPr>
              <w:autoSpaceDE/>
              <w:autoSpaceDN/>
              <w:adjustRightInd/>
              <w:spacing w:after="0" w:line="240" w:lineRule="auto"/>
              <w:jc w:val="center"/>
              <w:rPr>
                <w:rFonts w:ascii="Calibri" w:eastAsia="Times New Roman" w:hAnsi="Calibri"/>
                <w:bCs w:val="0"/>
                <w:lang w:eastAsia="fr-FR"/>
              </w:rPr>
            </w:pPr>
            <w:r w:rsidRPr="0089395A">
              <w:rPr>
                <w:rFonts w:ascii="Calibri" w:eastAsia="Times New Roman" w:hAnsi="Calibri"/>
                <w:bCs w:val="0"/>
                <w:sz w:val="22"/>
                <w:szCs w:val="22"/>
                <w:lang w:eastAsia="fr-FR"/>
              </w:rPr>
              <w:t>7924,64</w:t>
            </w:r>
          </w:p>
        </w:tc>
        <w:tc>
          <w:tcPr>
            <w:tcW w:w="1134" w:type="dxa"/>
            <w:tcBorders>
              <w:top w:val="nil"/>
              <w:left w:val="nil"/>
              <w:bottom w:val="single" w:sz="4" w:space="0" w:color="auto"/>
              <w:right w:val="single" w:sz="4" w:space="0" w:color="auto"/>
            </w:tcBorders>
            <w:shd w:val="clear" w:color="auto" w:fill="auto"/>
            <w:noWrap/>
            <w:vAlign w:val="bottom"/>
            <w:hideMark/>
          </w:tcPr>
          <w:p w:rsidR="0089395A" w:rsidRPr="0089395A" w:rsidRDefault="0089395A" w:rsidP="00750033">
            <w:pPr>
              <w:autoSpaceDE/>
              <w:autoSpaceDN/>
              <w:adjustRightInd/>
              <w:spacing w:after="0" w:line="240" w:lineRule="auto"/>
              <w:jc w:val="center"/>
              <w:rPr>
                <w:rFonts w:ascii="Calibri" w:eastAsia="Times New Roman" w:hAnsi="Calibri"/>
                <w:bCs w:val="0"/>
                <w:lang w:eastAsia="fr-FR"/>
              </w:rPr>
            </w:pPr>
            <w:r w:rsidRPr="0089395A">
              <w:rPr>
                <w:rFonts w:ascii="Calibri" w:eastAsia="Times New Roman" w:hAnsi="Calibri"/>
                <w:bCs w:val="0"/>
                <w:sz w:val="22"/>
                <w:szCs w:val="22"/>
                <w:lang w:eastAsia="fr-FR"/>
              </w:rPr>
              <w:t>100</w:t>
            </w:r>
          </w:p>
        </w:tc>
      </w:tr>
    </w:tbl>
    <w:p w:rsidR="0089395A" w:rsidRDefault="0089395A" w:rsidP="00842B51">
      <w:pPr>
        <w:spacing w:line="312" w:lineRule="auto"/>
      </w:pPr>
    </w:p>
    <w:p w:rsidR="009A161A" w:rsidRDefault="00842B51" w:rsidP="00587784">
      <w:pPr>
        <w:spacing w:line="312" w:lineRule="auto"/>
      </w:pPr>
      <w:r w:rsidRPr="0044670F">
        <w:t xml:space="preserve">L’essentiel des dépenses de la lutte contre la tuberculose, soit </w:t>
      </w:r>
      <w:r w:rsidR="00005C0F">
        <w:t>77,44</w:t>
      </w:r>
      <w:r w:rsidRPr="0044670F">
        <w:t xml:space="preserve"> %a été mobilisé à partir des régimes de l’administration publique et régimes contributifs obligatoires de financement de la santé. Les </w:t>
      </w:r>
      <w:r w:rsidR="00005C0F">
        <w:t>19,4</w:t>
      </w:r>
      <w:r w:rsidRPr="0044670F">
        <w:t xml:space="preserve"> % autres ont été mobilisés par les régimes volontaires de pa</w:t>
      </w:r>
      <w:r>
        <w:t>iement privé de soins de santé.</w:t>
      </w:r>
    </w:p>
    <w:p w:rsidR="009A161A" w:rsidRPr="00E105A9" w:rsidRDefault="009A161A" w:rsidP="00947090">
      <w:pPr>
        <w:pStyle w:val="Titre3"/>
        <w:numPr>
          <w:ilvl w:val="2"/>
          <w:numId w:val="34"/>
        </w:numPr>
        <w:rPr>
          <w:lang w:eastAsia="fr-FR"/>
        </w:rPr>
      </w:pPr>
      <w:r w:rsidRPr="00E105A9">
        <w:rPr>
          <w:lang w:eastAsia="fr-FR"/>
        </w:rPr>
        <w:t>Dépenses par agent de financement de la santé pour la tuberculose </w:t>
      </w:r>
    </w:p>
    <w:p w:rsidR="009A161A" w:rsidRPr="0044670F" w:rsidRDefault="009A161A" w:rsidP="009A161A">
      <w:pPr>
        <w:spacing w:line="312" w:lineRule="auto"/>
      </w:pPr>
      <w:r w:rsidRPr="0044670F">
        <w:t>Les dépenses des agents de financement de la santé pour la tuberculose sont récapitulées dans le tableau.</w:t>
      </w:r>
    </w:p>
    <w:p w:rsidR="009A161A" w:rsidRPr="00BA4FCD" w:rsidRDefault="009A161A" w:rsidP="009A161A">
      <w:pPr>
        <w:pStyle w:val="Lgende"/>
        <w:rPr>
          <w:color w:val="000000" w:themeColor="text1"/>
          <w:sz w:val="22"/>
          <w:szCs w:val="22"/>
        </w:rPr>
      </w:pPr>
      <w:bookmarkStart w:id="73" w:name="_Toc483991277"/>
      <w:r w:rsidRPr="00BA4FCD">
        <w:rPr>
          <w:color w:val="000000" w:themeColor="text1"/>
          <w:sz w:val="22"/>
          <w:szCs w:val="22"/>
        </w:rPr>
        <w:t xml:space="preserve">Tableau </w:t>
      </w:r>
      <w:r w:rsidR="00E72F8E">
        <w:rPr>
          <w:color w:val="000000" w:themeColor="text1"/>
          <w:sz w:val="22"/>
          <w:szCs w:val="22"/>
        </w:rPr>
        <w:fldChar w:fldCharType="begin"/>
      </w:r>
      <w:r>
        <w:rPr>
          <w:color w:val="000000" w:themeColor="text1"/>
          <w:sz w:val="22"/>
          <w:szCs w:val="22"/>
        </w:rPr>
        <w:instrText xml:space="preserve"> STYLEREF 2 \s </w:instrText>
      </w:r>
      <w:r w:rsidR="00E72F8E">
        <w:rPr>
          <w:color w:val="000000" w:themeColor="text1"/>
          <w:sz w:val="22"/>
          <w:szCs w:val="22"/>
        </w:rPr>
        <w:fldChar w:fldCharType="separate"/>
      </w:r>
      <w:r>
        <w:rPr>
          <w:noProof/>
          <w:color w:val="000000" w:themeColor="text1"/>
          <w:sz w:val="22"/>
          <w:szCs w:val="22"/>
        </w:rPr>
        <w:t>5.2</w:t>
      </w:r>
      <w:r w:rsidR="00E72F8E">
        <w:rPr>
          <w:color w:val="000000" w:themeColor="text1"/>
          <w:sz w:val="22"/>
          <w:szCs w:val="22"/>
        </w:rPr>
        <w:fldChar w:fldCharType="end"/>
      </w:r>
      <w:r>
        <w:rPr>
          <w:color w:val="000000" w:themeColor="text1"/>
          <w:sz w:val="22"/>
          <w:szCs w:val="22"/>
        </w:rPr>
        <w:t>.</w:t>
      </w:r>
      <w:r w:rsidR="00E72F8E">
        <w:rPr>
          <w:color w:val="000000" w:themeColor="text1"/>
          <w:sz w:val="22"/>
          <w:szCs w:val="22"/>
        </w:rPr>
        <w:fldChar w:fldCharType="begin"/>
      </w:r>
      <w:r>
        <w:rPr>
          <w:color w:val="000000" w:themeColor="text1"/>
          <w:sz w:val="22"/>
          <w:szCs w:val="22"/>
        </w:rPr>
        <w:instrText xml:space="preserve"> SEQ Tableau \* ARABIC \s 2 </w:instrText>
      </w:r>
      <w:r w:rsidR="00E72F8E">
        <w:rPr>
          <w:color w:val="000000" w:themeColor="text1"/>
          <w:sz w:val="22"/>
          <w:szCs w:val="22"/>
        </w:rPr>
        <w:fldChar w:fldCharType="separate"/>
      </w:r>
      <w:r>
        <w:rPr>
          <w:noProof/>
          <w:color w:val="000000" w:themeColor="text1"/>
          <w:sz w:val="22"/>
          <w:szCs w:val="22"/>
        </w:rPr>
        <w:t>3</w:t>
      </w:r>
      <w:r w:rsidR="00E72F8E">
        <w:rPr>
          <w:color w:val="000000" w:themeColor="text1"/>
          <w:sz w:val="22"/>
          <w:szCs w:val="22"/>
        </w:rPr>
        <w:fldChar w:fldCharType="end"/>
      </w:r>
      <w:r w:rsidRPr="00BA4FCD">
        <w:rPr>
          <w:color w:val="000000" w:themeColor="text1"/>
          <w:sz w:val="22"/>
          <w:szCs w:val="22"/>
        </w:rPr>
        <w:t>: Dépenses des agent</w:t>
      </w:r>
      <w:r w:rsidR="006C6600">
        <w:rPr>
          <w:color w:val="000000" w:themeColor="text1"/>
          <w:sz w:val="22"/>
          <w:szCs w:val="22"/>
        </w:rPr>
        <w:t>s</w:t>
      </w:r>
      <w:r w:rsidRPr="00BA4FCD">
        <w:rPr>
          <w:color w:val="000000" w:themeColor="text1"/>
          <w:sz w:val="22"/>
          <w:szCs w:val="22"/>
        </w:rPr>
        <w:t xml:space="preserve"> de financement de la santé pour la tuberculose</w:t>
      </w:r>
      <w:bookmarkEnd w:id="73"/>
    </w:p>
    <w:tbl>
      <w:tblPr>
        <w:tblW w:w="10362" w:type="dxa"/>
        <w:tblInd w:w="56" w:type="dxa"/>
        <w:tblLayout w:type="fixed"/>
        <w:tblCellMar>
          <w:left w:w="70" w:type="dxa"/>
          <w:right w:w="70" w:type="dxa"/>
        </w:tblCellMar>
        <w:tblLook w:val="04A0"/>
      </w:tblPr>
      <w:tblGrid>
        <w:gridCol w:w="1668"/>
        <w:gridCol w:w="1465"/>
        <w:gridCol w:w="1417"/>
        <w:gridCol w:w="1276"/>
        <w:gridCol w:w="709"/>
        <w:gridCol w:w="850"/>
        <w:gridCol w:w="993"/>
        <w:gridCol w:w="992"/>
        <w:gridCol w:w="992"/>
      </w:tblGrid>
      <w:tr w:rsidR="007339A4" w:rsidRPr="00985C27" w:rsidTr="00750033">
        <w:trPr>
          <w:trHeight w:val="330"/>
        </w:trPr>
        <w:tc>
          <w:tcPr>
            <w:tcW w:w="653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
                <w:lang w:eastAsia="fr-FR"/>
              </w:rPr>
            </w:pPr>
            <w:r w:rsidRPr="00985C27">
              <w:rPr>
                <w:rFonts w:eastAsia="Times New Roman"/>
                <w:b/>
                <w:lang w:eastAsia="fr-FR"/>
              </w:rPr>
              <w:t>Agents de financement</w:t>
            </w:r>
          </w:p>
        </w:tc>
        <w:tc>
          <w:tcPr>
            <w:tcW w:w="2835"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
                <w:lang w:eastAsia="fr-FR"/>
              </w:rPr>
            </w:pPr>
            <w:r w:rsidRPr="00985C27">
              <w:rPr>
                <w:rFonts w:eastAsia="Times New Roman"/>
                <w:b/>
                <w:lang w:eastAsia="fr-FR"/>
              </w:rPr>
              <w:t>Dépenses</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
                <w:lang w:eastAsia="fr-FR"/>
              </w:rPr>
            </w:pPr>
            <w:r w:rsidRPr="00985C27">
              <w:rPr>
                <w:rFonts w:eastAsia="Times New Roman"/>
                <w:b/>
                <w:lang w:eastAsia="fr-FR"/>
              </w:rPr>
              <w:t>%</w:t>
            </w:r>
          </w:p>
        </w:tc>
      </w:tr>
      <w:tr w:rsidR="007339A4" w:rsidRPr="00985C27" w:rsidTr="00750033">
        <w:trPr>
          <w:trHeight w:val="300"/>
        </w:trPr>
        <w:tc>
          <w:tcPr>
            <w:tcW w:w="1668" w:type="dxa"/>
            <w:vMerge w:val="restart"/>
            <w:tcBorders>
              <w:top w:val="nil"/>
              <w:left w:val="single" w:sz="8" w:space="0" w:color="auto"/>
              <w:bottom w:val="nil"/>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
                <w:lang w:eastAsia="fr-FR"/>
              </w:rPr>
            </w:pPr>
            <w:r w:rsidRPr="00985C27">
              <w:rPr>
                <w:rFonts w:eastAsia="Times New Roman"/>
                <w:b/>
                <w:sz w:val="22"/>
                <w:szCs w:val="22"/>
                <w:lang w:eastAsia="fr-FR"/>
              </w:rPr>
              <w:t>Administrations publiques</w:t>
            </w:r>
          </w:p>
        </w:tc>
        <w:tc>
          <w:tcPr>
            <w:tcW w:w="1465" w:type="dxa"/>
            <w:vMerge w:val="restart"/>
            <w:tcBorders>
              <w:top w:val="nil"/>
              <w:left w:val="single" w:sz="8" w:space="0" w:color="auto"/>
              <w:bottom w:val="single" w:sz="8" w:space="0" w:color="000000"/>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i/>
                <w:iCs/>
                <w:lang w:eastAsia="fr-FR"/>
              </w:rPr>
            </w:pPr>
            <w:r w:rsidRPr="00985C27">
              <w:rPr>
                <w:rFonts w:eastAsia="Times New Roman"/>
                <w:bCs w:val="0"/>
                <w:i/>
                <w:iCs/>
                <w:sz w:val="22"/>
                <w:szCs w:val="22"/>
                <w:lang w:eastAsia="fr-FR"/>
              </w:rPr>
              <w:t>Administration centrale</w:t>
            </w:r>
          </w:p>
        </w:tc>
        <w:tc>
          <w:tcPr>
            <w:tcW w:w="1417" w:type="dxa"/>
            <w:vMerge w:val="restart"/>
            <w:tcBorders>
              <w:top w:val="nil"/>
              <w:left w:val="single" w:sz="8" w:space="0" w:color="auto"/>
              <w:bottom w:val="single" w:sz="8" w:space="0" w:color="000000"/>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Ministère de la santé</w:t>
            </w:r>
          </w:p>
        </w:tc>
        <w:tc>
          <w:tcPr>
            <w:tcW w:w="1985"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Cs w:val="0"/>
                <w:lang w:eastAsia="fr-FR"/>
              </w:rPr>
            </w:pPr>
            <w:r w:rsidRPr="00985C27">
              <w:rPr>
                <w:rFonts w:eastAsia="Times New Roman"/>
                <w:bCs w:val="0"/>
                <w:sz w:val="22"/>
                <w:szCs w:val="22"/>
                <w:lang w:eastAsia="fr-FR"/>
              </w:rPr>
              <w:t>4802,99</w:t>
            </w:r>
          </w:p>
        </w:tc>
        <w:tc>
          <w:tcPr>
            <w:tcW w:w="99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985C27" w:rsidRPr="00750033" w:rsidRDefault="00985C27" w:rsidP="00985C27">
            <w:pPr>
              <w:autoSpaceDE/>
              <w:autoSpaceDN/>
              <w:adjustRightInd/>
              <w:spacing w:after="0" w:line="240" w:lineRule="auto"/>
              <w:jc w:val="center"/>
              <w:rPr>
                <w:rFonts w:eastAsia="Times New Roman"/>
                <w:bCs w:val="0"/>
                <w:iCs/>
                <w:lang w:eastAsia="fr-FR"/>
              </w:rPr>
            </w:pPr>
            <w:r w:rsidRPr="00750033">
              <w:rPr>
                <w:rFonts w:eastAsia="Times New Roman"/>
                <w:bCs w:val="0"/>
                <w:iCs/>
                <w:sz w:val="22"/>
                <w:szCs w:val="22"/>
                <w:lang w:eastAsia="fr-FR"/>
              </w:rPr>
              <w:t>5004,23</w:t>
            </w:r>
          </w:p>
        </w:tc>
        <w:tc>
          <w:tcPr>
            <w:tcW w:w="992" w:type="dxa"/>
            <w:vMerge w:val="restart"/>
            <w:tcBorders>
              <w:top w:val="nil"/>
              <w:left w:val="single" w:sz="8" w:space="0" w:color="auto"/>
              <w:bottom w:val="nil"/>
              <w:right w:val="single" w:sz="8" w:space="0" w:color="auto"/>
            </w:tcBorders>
            <w:shd w:val="clear" w:color="auto" w:fill="auto"/>
            <w:noWrap/>
            <w:vAlign w:val="bottom"/>
            <w:hideMark/>
          </w:tcPr>
          <w:p w:rsidR="00985C27" w:rsidRPr="00750033" w:rsidRDefault="00985C27" w:rsidP="00985C27">
            <w:pPr>
              <w:autoSpaceDE/>
              <w:autoSpaceDN/>
              <w:adjustRightInd/>
              <w:spacing w:after="0" w:line="240" w:lineRule="auto"/>
              <w:jc w:val="center"/>
              <w:rPr>
                <w:rFonts w:eastAsia="Times New Roman"/>
                <w:bCs w:val="0"/>
                <w:iCs/>
                <w:lang w:eastAsia="fr-FR"/>
              </w:rPr>
            </w:pPr>
            <w:r w:rsidRPr="00750033">
              <w:rPr>
                <w:rFonts w:eastAsia="Times New Roman"/>
                <w:bCs w:val="0"/>
                <w:iCs/>
                <w:sz w:val="22"/>
                <w:szCs w:val="22"/>
                <w:lang w:eastAsia="fr-FR"/>
              </w:rPr>
              <w:t>5072,31</w:t>
            </w:r>
          </w:p>
        </w:tc>
        <w:tc>
          <w:tcPr>
            <w:tcW w:w="992" w:type="dxa"/>
            <w:vMerge w:val="restart"/>
            <w:tcBorders>
              <w:top w:val="nil"/>
              <w:left w:val="single" w:sz="8" w:space="0" w:color="auto"/>
              <w:bottom w:val="nil"/>
              <w:right w:val="single" w:sz="8" w:space="0" w:color="auto"/>
            </w:tcBorders>
            <w:shd w:val="clear" w:color="auto" w:fill="auto"/>
            <w:noWrap/>
            <w:vAlign w:val="bottom"/>
            <w:hideMark/>
          </w:tcPr>
          <w:p w:rsidR="00985C27" w:rsidRPr="00750033" w:rsidRDefault="00985C27" w:rsidP="00985C27">
            <w:pPr>
              <w:autoSpaceDE/>
              <w:autoSpaceDN/>
              <w:adjustRightInd/>
              <w:spacing w:after="0" w:line="240" w:lineRule="auto"/>
              <w:jc w:val="center"/>
              <w:rPr>
                <w:rFonts w:eastAsia="Times New Roman"/>
                <w:bCs w:val="0"/>
                <w:iCs/>
                <w:lang w:eastAsia="fr-FR"/>
              </w:rPr>
            </w:pPr>
            <w:r w:rsidRPr="00750033">
              <w:rPr>
                <w:rFonts w:eastAsia="Times New Roman"/>
                <w:bCs w:val="0"/>
                <w:iCs/>
                <w:sz w:val="22"/>
                <w:szCs w:val="22"/>
                <w:lang w:eastAsia="fr-FR"/>
              </w:rPr>
              <w:t>64,01</w:t>
            </w:r>
          </w:p>
        </w:tc>
      </w:tr>
      <w:tr w:rsidR="007339A4" w:rsidRPr="00985C27" w:rsidTr="00750033">
        <w:trPr>
          <w:trHeight w:val="315"/>
        </w:trPr>
        <w:tc>
          <w:tcPr>
            <w:tcW w:w="1668"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c>
          <w:tcPr>
            <w:tcW w:w="1465" w:type="dxa"/>
            <w:vMerge/>
            <w:tcBorders>
              <w:top w:val="nil"/>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i/>
                <w:iCs/>
                <w:lang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1985" w:type="dxa"/>
            <w:gridSpan w:val="2"/>
            <w:vMerge/>
            <w:tcBorders>
              <w:top w:val="single" w:sz="8" w:space="0" w:color="auto"/>
              <w:left w:val="single" w:sz="8" w:space="0" w:color="auto"/>
              <w:bottom w:val="single" w:sz="8" w:space="0" w:color="000000"/>
              <w:right w:val="single" w:sz="8" w:space="0" w:color="000000"/>
            </w:tcBorders>
            <w:vAlign w:val="center"/>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850" w:type="dxa"/>
            <w:vMerge/>
            <w:tcBorders>
              <w:top w:val="nil"/>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993" w:type="dxa"/>
            <w:vMerge/>
            <w:tcBorders>
              <w:top w:val="nil"/>
              <w:left w:val="single" w:sz="8" w:space="0" w:color="auto"/>
              <w:bottom w:val="single" w:sz="8" w:space="0" w:color="000000"/>
              <w:right w:val="single" w:sz="8" w:space="0" w:color="auto"/>
            </w:tcBorders>
            <w:vAlign w:val="center"/>
            <w:hideMark/>
          </w:tcPr>
          <w:p w:rsidR="00985C27" w:rsidRPr="00750033" w:rsidRDefault="00985C27" w:rsidP="00985C27">
            <w:pPr>
              <w:autoSpaceDE/>
              <w:autoSpaceDN/>
              <w:adjustRightInd/>
              <w:spacing w:after="0" w:line="240" w:lineRule="auto"/>
              <w:jc w:val="left"/>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r>
      <w:tr w:rsidR="007339A4" w:rsidRPr="00985C27" w:rsidTr="00750033">
        <w:trPr>
          <w:trHeight w:val="615"/>
        </w:trPr>
        <w:tc>
          <w:tcPr>
            <w:tcW w:w="1668"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c>
          <w:tcPr>
            <w:tcW w:w="1465" w:type="dxa"/>
            <w:vMerge/>
            <w:tcBorders>
              <w:top w:val="nil"/>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i/>
                <w:iCs/>
                <w:lang w:eastAsia="fr-FR"/>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Autres ministères et unités des services publics (appartenant à l'administration centrale)</w:t>
            </w:r>
          </w:p>
        </w:tc>
        <w:tc>
          <w:tcPr>
            <w:tcW w:w="1276" w:type="dxa"/>
            <w:tcBorders>
              <w:top w:val="nil"/>
              <w:left w:val="nil"/>
              <w:bottom w:val="single" w:sz="8" w:space="0" w:color="auto"/>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Ministère de la Défense</w:t>
            </w:r>
          </w:p>
        </w:tc>
        <w:tc>
          <w:tcPr>
            <w:tcW w:w="709" w:type="dxa"/>
            <w:tcBorders>
              <w:top w:val="nil"/>
              <w:left w:val="nil"/>
              <w:bottom w:val="single" w:sz="8" w:space="0" w:color="auto"/>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Cs w:val="0"/>
                <w:lang w:eastAsia="fr-FR"/>
              </w:rPr>
            </w:pPr>
            <w:r w:rsidRPr="00985C27">
              <w:rPr>
                <w:rFonts w:eastAsia="Times New Roman"/>
                <w:bCs w:val="0"/>
                <w:sz w:val="22"/>
                <w:szCs w:val="22"/>
                <w:lang w:eastAsia="fr-FR"/>
              </w:rPr>
              <w:t>72,08</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Cs w:val="0"/>
                <w:lang w:eastAsia="fr-FR"/>
              </w:rPr>
            </w:pPr>
            <w:r w:rsidRPr="00985C27">
              <w:rPr>
                <w:rFonts w:eastAsia="Times New Roman"/>
                <w:bCs w:val="0"/>
                <w:sz w:val="22"/>
                <w:szCs w:val="22"/>
                <w:lang w:eastAsia="fr-FR"/>
              </w:rPr>
              <w:t>201,24</w:t>
            </w:r>
          </w:p>
        </w:tc>
        <w:tc>
          <w:tcPr>
            <w:tcW w:w="993" w:type="dxa"/>
            <w:vMerge/>
            <w:tcBorders>
              <w:top w:val="nil"/>
              <w:left w:val="single" w:sz="8" w:space="0" w:color="auto"/>
              <w:bottom w:val="single" w:sz="8" w:space="0" w:color="000000"/>
              <w:right w:val="single" w:sz="8" w:space="0" w:color="auto"/>
            </w:tcBorders>
            <w:vAlign w:val="center"/>
            <w:hideMark/>
          </w:tcPr>
          <w:p w:rsidR="00985C27" w:rsidRPr="00750033" w:rsidRDefault="00985C27" w:rsidP="00985C27">
            <w:pPr>
              <w:autoSpaceDE/>
              <w:autoSpaceDN/>
              <w:adjustRightInd/>
              <w:spacing w:after="0" w:line="240" w:lineRule="auto"/>
              <w:jc w:val="left"/>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r>
      <w:tr w:rsidR="007339A4" w:rsidRPr="00985C27" w:rsidTr="00750033">
        <w:trPr>
          <w:trHeight w:val="1815"/>
        </w:trPr>
        <w:tc>
          <w:tcPr>
            <w:tcW w:w="1668"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c>
          <w:tcPr>
            <w:tcW w:w="1465" w:type="dxa"/>
            <w:vMerge/>
            <w:tcBorders>
              <w:top w:val="nil"/>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i/>
                <w:iCs/>
                <w:lang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1276" w:type="dxa"/>
            <w:tcBorders>
              <w:top w:val="nil"/>
              <w:left w:val="nil"/>
              <w:bottom w:val="single" w:sz="8" w:space="0" w:color="auto"/>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Ministère de la Solidarité, des Affaires Sociales (MSAHRN)</w:t>
            </w:r>
          </w:p>
        </w:tc>
        <w:tc>
          <w:tcPr>
            <w:tcW w:w="709" w:type="dxa"/>
            <w:tcBorders>
              <w:top w:val="nil"/>
              <w:left w:val="nil"/>
              <w:bottom w:val="single" w:sz="8" w:space="0" w:color="auto"/>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Cs w:val="0"/>
                <w:lang w:eastAsia="fr-FR"/>
              </w:rPr>
            </w:pPr>
            <w:r w:rsidRPr="00985C27">
              <w:rPr>
                <w:rFonts w:eastAsia="Times New Roman"/>
                <w:bCs w:val="0"/>
                <w:sz w:val="22"/>
                <w:szCs w:val="22"/>
                <w:lang w:eastAsia="fr-FR"/>
              </w:rPr>
              <w:t>49,78</w:t>
            </w:r>
          </w:p>
        </w:tc>
        <w:tc>
          <w:tcPr>
            <w:tcW w:w="850" w:type="dxa"/>
            <w:vMerge/>
            <w:tcBorders>
              <w:top w:val="nil"/>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993" w:type="dxa"/>
            <w:vMerge/>
            <w:tcBorders>
              <w:top w:val="nil"/>
              <w:left w:val="single" w:sz="8" w:space="0" w:color="auto"/>
              <w:bottom w:val="single" w:sz="8" w:space="0" w:color="000000"/>
              <w:right w:val="single" w:sz="8" w:space="0" w:color="auto"/>
            </w:tcBorders>
            <w:vAlign w:val="center"/>
            <w:hideMark/>
          </w:tcPr>
          <w:p w:rsidR="00985C27" w:rsidRPr="00750033" w:rsidRDefault="00985C27" w:rsidP="00985C27">
            <w:pPr>
              <w:autoSpaceDE/>
              <w:autoSpaceDN/>
              <w:adjustRightInd/>
              <w:spacing w:after="0" w:line="240" w:lineRule="auto"/>
              <w:jc w:val="left"/>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r>
      <w:tr w:rsidR="007339A4" w:rsidRPr="00985C27" w:rsidTr="00750033">
        <w:trPr>
          <w:trHeight w:val="915"/>
        </w:trPr>
        <w:tc>
          <w:tcPr>
            <w:tcW w:w="1668"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c>
          <w:tcPr>
            <w:tcW w:w="1465" w:type="dxa"/>
            <w:vMerge/>
            <w:tcBorders>
              <w:top w:val="nil"/>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i/>
                <w:iCs/>
                <w:lang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1276" w:type="dxa"/>
            <w:tcBorders>
              <w:top w:val="nil"/>
              <w:left w:val="nil"/>
              <w:bottom w:val="single" w:sz="8" w:space="0" w:color="auto"/>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Ministère des Affaires Etrangères</w:t>
            </w:r>
          </w:p>
        </w:tc>
        <w:tc>
          <w:tcPr>
            <w:tcW w:w="709" w:type="dxa"/>
            <w:tcBorders>
              <w:top w:val="nil"/>
              <w:left w:val="nil"/>
              <w:bottom w:val="single" w:sz="8" w:space="0" w:color="auto"/>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Cs w:val="0"/>
                <w:lang w:eastAsia="fr-FR"/>
              </w:rPr>
            </w:pPr>
            <w:r w:rsidRPr="00985C27">
              <w:rPr>
                <w:rFonts w:eastAsia="Times New Roman"/>
                <w:bCs w:val="0"/>
                <w:sz w:val="22"/>
                <w:szCs w:val="22"/>
                <w:lang w:eastAsia="fr-FR"/>
              </w:rPr>
              <w:t>79,38</w:t>
            </w:r>
          </w:p>
        </w:tc>
        <w:tc>
          <w:tcPr>
            <w:tcW w:w="850" w:type="dxa"/>
            <w:vMerge/>
            <w:tcBorders>
              <w:top w:val="nil"/>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993" w:type="dxa"/>
            <w:vMerge/>
            <w:tcBorders>
              <w:top w:val="nil"/>
              <w:left w:val="single" w:sz="8" w:space="0" w:color="auto"/>
              <w:bottom w:val="single" w:sz="8" w:space="0" w:color="000000"/>
              <w:right w:val="single" w:sz="8" w:space="0" w:color="auto"/>
            </w:tcBorders>
            <w:vAlign w:val="center"/>
            <w:hideMark/>
          </w:tcPr>
          <w:p w:rsidR="00985C27" w:rsidRPr="00750033" w:rsidRDefault="00985C27" w:rsidP="00985C27">
            <w:pPr>
              <w:autoSpaceDE/>
              <w:autoSpaceDN/>
              <w:adjustRightInd/>
              <w:spacing w:after="0" w:line="240" w:lineRule="auto"/>
              <w:jc w:val="left"/>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r>
      <w:tr w:rsidR="007339A4" w:rsidRPr="00985C27" w:rsidTr="00750033">
        <w:trPr>
          <w:trHeight w:val="585"/>
        </w:trPr>
        <w:tc>
          <w:tcPr>
            <w:tcW w:w="1668"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c>
          <w:tcPr>
            <w:tcW w:w="1465" w:type="dxa"/>
            <w:vMerge w:val="restart"/>
            <w:tcBorders>
              <w:top w:val="nil"/>
              <w:left w:val="single" w:sz="8" w:space="0" w:color="auto"/>
              <w:bottom w:val="nil"/>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i/>
                <w:iCs/>
                <w:lang w:eastAsia="fr-FR"/>
              </w:rPr>
            </w:pPr>
            <w:r w:rsidRPr="00985C27">
              <w:rPr>
                <w:rFonts w:eastAsia="Times New Roman"/>
                <w:bCs w:val="0"/>
                <w:i/>
                <w:iCs/>
                <w:sz w:val="22"/>
                <w:szCs w:val="22"/>
                <w:lang w:eastAsia="fr-FR"/>
              </w:rPr>
              <w:t>Administration provinciale/régionale/locale</w:t>
            </w:r>
          </w:p>
        </w:tc>
        <w:tc>
          <w:tcPr>
            <w:tcW w:w="4252" w:type="dxa"/>
            <w:gridSpan w:val="4"/>
            <w:vMerge w:val="restart"/>
            <w:tcBorders>
              <w:top w:val="single" w:sz="8" w:space="0" w:color="auto"/>
              <w:left w:val="single" w:sz="8" w:space="0" w:color="auto"/>
              <w:bottom w:val="nil"/>
              <w:right w:val="single" w:sz="8" w:space="0" w:color="000000"/>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993" w:type="dxa"/>
            <w:vMerge w:val="restart"/>
            <w:tcBorders>
              <w:top w:val="nil"/>
              <w:left w:val="single" w:sz="8" w:space="0" w:color="auto"/>
              <w:bottom w:val="nil"/>
              <w:right w:val="single" w:sz="8" w:space="0" w:color="auto"/>
            </w:tcBorders>
            <w:shd w:val="clear" w:color="auto" w:fill="auto"/>
            <w:noWrap/>
            <w:vAlign w:val="bottom"/>
            <w:hideMark/>
          </w:tcPr>
          <w:p w:rsidR="00985C27" w:rsidRPr="00750033" w:rsidRDefault="00985C27" w:rsidP="00985C27">
            <w:pPr>
              <w:autoSpaceDE/>
              <w:autoSpaceDN/>
              <w:adjustRightInd/>
              <w:spacing w:after="0" w:line="240" w:lineRule="auto"/>
              <w:jc w:val="center"/>
              <w:rPr>
                <w:rFonts w:eastAsia="Times New Roman"/>
                <w:bCs w:val="0"/>
                <w:iCs/>
                <w:lang w:eastAsia="fr-FR"/>
              </w:rPr>
            </w:pPr>
            <w:r w:rsidRPr="00750033">
              <w:rPr>
                <w:rFonts w:eastAsia="Times New Roman"/>
                <w:bCs w:val="0"/>
                <w:iCs/>
                <w:sz w:val="22"/>
                <w:szCs w:val="22"/>
                <w:lang w:eastAsia="fr-FR"/>
              </w:rPr>
              <w:t>68,08</w:t>
            </w: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r>
      <w:tr w:rsidR="007339A4" w:rsidRPr="00985C27" w:rsidTr="00750033">
        <w:trPr>
          <w:trHeight w:val="300"/>
        </w:trPr>
        <w:tc>
          <w:tcPr>
            <w:tcW w:w="1668"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c>
          <w:tcPr>
            <w:tcW w:w="1465"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i/>
                <w:iCs/>
                <w:lang w:eastAsia="fr-FR"/>
              </w:rPr>
            </w:pPr>
          </w:p>
        </w:tc>
        <w:tc>
          <w:tcPr>
            <w:tcW w:w="4252" w:type="dxa"/>
            <w:gridSpan w:val="4"/>
            <w:vMerge/>
            <w:tcBorders>
              <w:top w:val="single" w:sz="8" w:space="0" w:color="auto"/>
              <w:left w:val="single" w:sz="8" w:space="0" w:color="auto"/>
              <w:bottom w:val="nil"/>
              <w:right w:val="single" w:sz="8" w:space="0" w:color="000000"/>
            </w:tcBorders>
            <w:vAlign w:val="center"/>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993"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i/>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r>
      <w:tr w:rsidR="007339A4" w:rsidRPr="00985C27" w:rsidTr="00750033">
        <w:trPr>
          <w:trHeight w:val="300"/>
        </w:trPr>
        <w:tc>
          <w:tcPr>
            <w:tcW w:w="1668"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c>
          <w:tcPr>
            <w:tcW w:w="1465"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i/>
                <w:iCs/>
                <w:lang w:eastAsia="fr-FR"/>
              </w:rPr>
            </w:pPr>
          </w:p>
        </w:tc>
        <w:tc>
          <w:tcPr>
            <w:tcW w:w="4252" w:type="dxa"/>
            <w:gridSpan w:val="4"/>
            <w:vMerge/>
            <w:tcBorders>
              <w:top w:val="single" w:sz="8" w:space="0" w:color="auto"/>
              <w:left w:val="single" w:sz="8" w:space="0" w:color="auto"/>
              <w:bottom w:val="nil"/>
              <w:right w:val="single" w:sz="8" w:space="0" w:color="000000"/>
            </w:tcBorders>
            <w:vAlign w:val="center"/>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993"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i/>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r>
      <w:tr w:rsidR="007339A4" w:rsidRPr="00985C27" w:rsidTr="00A620DF">
        <w:trPr>
          <w:trHeight w:val="276"/>
        </w:trPr>
        <w:tc>
          <w:tcPr>
            <w:tcW w:w="1668"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c>
          <w:tcPr>
            <w:tcW w:w="1465"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i/>
                <w:iCs/>
                <w:lang w:eastAsia="fr-FR"/>
              </w:rPr>
            </w:pPr>
          </w:p>
        </w:tc>
        <w:tc>
          <w:tcPr>
            <w:tcW w:w="4252" w:type="dxa"/>
            <w:gridSpan w:val="4"/>
            <w:vMerge/>
            <w:tcBorders>
              <w:top w:val="single" w:sz="8" w:space="0" w:color="auto"/>
              <w:left w:val="single" w:sz="8" w:space="0" w:color="auto"/>
              <w:bottom w:val="nil"/>
              <w:right w:val="single" w:sz="8" w:space="0" w:color="000000"/>
            </w:tcBorders>
            <w:vAlign w:val="center"/>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993" w:type="dxa"/>
            <w:vMerge/>
            <w:tcBorders>
              <w:top w:val="nil"/>
              <w:left w:val="single" w:sz="8" w:space="0" w:color="auto"/>
              <w:bottom w:val="nil"/>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Cs w:val="0"/>
                <w:i/>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c>
          <w:tcPr>
            <w:tcW w:w="992" w:type="dxa"/>
            <w:vMerge/>
            <w:tcBorders>
              <w:top w:val="nil"/>
              <w:left w:val="single" w:sz="8" w:space="0" w:color="auto"/>
              <w:bottom w:val="nil"/>
              <w:right w:val="single" w:sz="8" w:space="0" w:color="auto"/>
            </w:tcBorders>
            <w:vAlign w:val="center"/>
            <w:hideMark/>
          </w:tcPr>
          <w:p w:rsidR="00985C27" w:rsidRPr="00750033" w:rsidRDefault="00985C27" w:rsidP="00750033">
            <w:pPr>
              <w:autoSpaceDE/>
              <w:autoSpaceDN/>
              <w:adjustRightInd/>
              <w:spacing w:after="0" w:line="240" w:lineRule="auto"/>
              <w:jc w:val="center"/>
              <w:rPr>
                <w:rFonts w:eastAsia="Times New Roman"/>
                <w:bCs w:val="0"/>
                <w:iCs/>
                <w:lang w:eastAsia="fr-FR"/>
              </w:rPr>
            </w:pPr>
          </w:p>
        </w:tc>
      </w:tr>
      <w:tr w:rsidR="007339A4" w:rsidRPr="00985C27" w:rsidTr="00750033">
        <w:trPr>
          <w:trHeight w:val="870"/>
        </w:trPr>
        <w:tc>
          <w:tcPr>
            <w:tcW w:w="1668" w:type="dxa"/>
            <w:tcBorders>
              <w:top w:val="nil"/>
              <w:left w:val="single" w:sz="8" w:space="0" w:color="auto"/>
              <w:bottom w:val="nil"/>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
                <w:lang w:eastAsia="fr-FR"/>
              </w:rPr>
            </w:pPr>
            <w:r w:rsidRPr="00985C27">
              <w:rPr>
                <w:rFonts w:eastAsia="Times New Roman"/>
                <w:b/>
                <w:sz w:val="22"/>
                <w:szCs w:val="22"/>
                <w:lang w:eastAsia="fr-FR"/>
              </w:rPr>
              <w:t>Agence de l'assurance maladie</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i/>
                <w:iCs/>
                <w:lang w:eastAsia="fr-FR"/>
              </w:rPr>
            </w:pPr>
            <w:r w:rsidRPr="00985C27">
              <w:rPr>
                <w:rFonts w:eastAsia="Times New Roman"/>
                <w:bCs w:val="0"/>
                <w:i/>
                <w:iCs/>
                <w:sz w:val="22"/>
                <w:szCs w:val="22"/>
                <w:lang w:eastAsia="fr-FR"/>
              </w:rPr>
              <w:t> </w:t>
            </w:r>
          </w:p>
        </w:tc>
        <w:tc>
          <w:tcPr>
            <w:tcW w:w="1417" w:type="dxa"/>
            <w:tcBorders>
              <w:top w:val="single" w:sz="4" w:space="0" w:color="auto"/>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1276" w:type="dxa"/>
            <w:tcBorders>
              <w:top w:val="single" w:sz="4" w:space="0" w:color="auto"/>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709" w:type="dxa"/>
            <w:tcBorders>
              <w:top w:val="single" w:sz="4" w:space="0" w:color="auto"/>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850" w:type="dxa"/>
            <w:tcBorders>
              <w:top w:val="single" w:sz="4" w:space="0" w:color="auto"/>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Cs w:val="0"/>
                <w:i/>
                <w:iCs/>
                <w:lang w:eastAsia="fr-FR"/>
              </w:rPr>
            </w:pPr>
            <w:r w:rsidRPr="00985C27">
              <w:rPr>
                <w:rFonts w:eastAsia="Times New Roman"/>
                <w:bCs w:val="0"/>
                <w:i/>
                <w:iCs/>
                <w:sz w:val="22"/>
                <w:szCs w:val="22"/>
                <w:lang w:eastAsia="fr-FR"/>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85C27" w:rsidRPr="00750033" w:rsidRDefault="00985C27" w:rsidP="00985C27">
            <w:pPr>
              <w:autoSpaceDE/>
              <w:autoSpaceDN/>
              <w:adjustRightInd/>
              <w:spacing w:after="0" w:line="240" w:lineRule="auto"/>
              <w:jc w:val="center"/>
              <w:rPr>
                <w:rFonts w:eastAsia="Times New Roman"/>
                <w:bCs w:val="0"/>
                <w:iCs/>
                <w:lang w:eastAsia="fr-FR"/>
              </w:rPr>
            </w:pPr>
            <w:r w:rsidRPr="00750033">
              <w:rPr>
                <w:rFonts w:eastAsia="Times New Roman"/>
                <w:bCs w:val="0"/>
                <w:iCs/>
                <w:sz w:val="22"/>
                <w:szCs w:val="22"/>
                <w:lang w:eastAsia="fr-FR"/>
              </w:rPr>
              <w:t>1064,28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85C27" w:rsidRPr="00750033" w:rsidRDefault="00985C27" w:rsidP="00985C27">
            <w:pPr>
              <w:autoSpaceDE/>
              <w:autoSpaceDN/>
              <w:adjustRightInd/>
              <w:spacing w:after="0" w:line="240" w:lineRule="auto"/>
              <w:jc w:val="center"/>
              <w:rPr>
                <w:rFonts w:eastAsia="Times New Roman"/>
                <w:bCs w:val="0"/>
                <w:iCs/>
                <w:lang w:eastAsia="fr-FR"/>
              </w:rPr>
            </w:pPr>
            <w:r w:rsidRPr="00750033">
              <w:rPr>
                <w:rFonts w:eastAsia="Times New Roman"/>
                <w:bCs w:val="0"/>
                <w:iCs/>
                <w:sz w:val="22"/>
                <w:szCs w:val="22"/>
                <w:lang w:eastAsia="fr-FR"/>
              </w:rPr>
              <w:t>13,43</w:t>
            </w:r>
          </w:p>
        </w:tc>
      </w:tr>
      <w:tr w:rsidR="007339A4" w:rsidRPr="00985C27" w:rsidTr="00750033">
        <w:trPr>
          <w:trHeight w:val="870"/>
        </w:trPr>
        <w:tc>
          <w:tcPr>
            <w:tcW w:w="1668" w:type="dxa"/>
            <w:tcBorders>
              <w:top w:val="nil"/>
              <w:left w:val="single" w:sz="8" w:space="0" w:color="auto"/>
              <w:bottom w:val="nil"/>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
                <w:lang w:eastAsia="fr-FR"/>
              </w:rPr>
            </w:pPr>
            <w:r w:rsidRPr="00985C27">
              <w:rPr>
                <w:rFonts w:eastAsia="Times New Roman"/>
                <w:b/>
                <w:sz w:val="22"/>
                <w:szCs w:val="22"/>
                <w:lang w:eastAsia="fr-FR"/>
              </w:rPr>
              <w:t>Agence de sécurité sociale</w:t>
            </w:r>
          </w:p>
        </w:tc>
        <w:tc>
          <w:tcPr>
            <w:tcW w:w="1465" w:type="dxa"/>
            <w:tcBorders>
              <w:top w:val="nil"/>
              <w:left w:val="single" w:sz="4" w:space="0" w:color="auto"/>
              <w:bottom w:val="single" w:sz="4" w:space="0" w:color="auto"/>
              <w:right w:val="single" w:sz="4"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i/>
                <w:iCs/>
                <w:lang w:eastAsia="fr-FR"/>
              </w:rPr>
            </w:pPr>
            <w:r w:rsidRPr="00985C27">
              <w:rPr>
                <w:rFonts w:eastAsia="Times New Roman"/>
                <w:bCs w:val="0"/>
                <w:i/>
                <w:iCs/>
                <w:sz w:val="22"/>
                <w:szCs w:val="22"/>
                <w:lang w:eastAsia="fr-FR"/>
              </w:rPr>
              <w:t> </w:t>
            </w:r>
          </w:p>
        </w:tc>
        <w:tc>
          <w:tcPr>
            <w:tcW w:w="1417" w:type="dxa"/>
            <w:tcBorders>
              <w:top w:val="nil"/>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1276" w:type="dxa"/>
            <w:tcBorders>
              <w:top w:val="nil"/>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709" w:type="dxa"/>
            <w:tcBorders>
              <w:top w:val="nil"/>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850" w:type="dxa"/>
            <w:tcBorders>
              <w:top w:val="nil"/>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Cs w:val="0"/>
                <w:i/>
                <w:iCs/>
                <w:lang w:eastAsia="fr-FR"/>
              </w:rPr>
            </w:pPr>
            <w:r w:rsidRPr="00985C27">
              <w:rPr>
                <w:rFonts w:eastAsia="Times New Roman"/>
                <w:bCs w:val="0"/>
                <w:i/>
                <w:iCs/>
                <w:sz w:val="22"/>
                <w:szCs w:val="22"/>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985C27" w:rsidRPr="00750033" w:rsidRDefault="00985C27" w:rsidP="00985C27">
            <w:pPr>
              <w:autoSpaceDE/>
              <w:autoSpaceDN/>
              <w:adjustRightInd/>
              <w:spacing w:after="0" w:line="240" w:lineRule="auto"/>
              <w:jc w:val="center"/>
              <w:rPr>
                <w:rFonts w:eastAsia="Times New Roman"/>
                <w:bCs w:val="0"/>
                <w:iCs/>
                <w:lang w:eastAsia="fr-FR"/>
              </w:rPr>
            </w:pPr>
            <w:r w:rsidRPr="00750033">
              <w:rPr>
                <w:rFonts w:eastAsia="Times New Roman"/>
                <w:bCs w:val="0"/>
                <w:iCs/>
                <w:sz w:val="22"/>
                <w:szCs w:val="22"/>
                <w:lang w:eastAsia="fr-FR"/>
              </w:rPr>
              <w:t>62,45</w:t>
            </w:r>
          </w:p>
        </w:tc>
        <w:tc>
          <w:tcPr>
            <w:tcW w:w="992" w:type="dxa"/>
            <w:tcBorders>
              <w:top w:val="nil"/>
              <w:left w:val="nil"/>
              <w:bottom w:val="single" w:sz="4" w:space="0" w:color="auto"/>
              <w:right w:val="single" w:sz="4" w:space="0" w:color="auto"/>
            </w:tcBorders>
            <w:shd w:val="clear" w:color="auto" w:fill="auto"/>
            <w:noWrap/>
            <w:vAlign w:val="bottom"/>
            <w:hideMark/>
          </w:tcPr>
          <w:p w:rsidR="00985C27" w:rsidRPr="00750033" w:rsidRDefault="00985C27" w:rsidP="00985C27">
            <w:pPr>
              <w:autoSpaceDE/>
              <w:autoSpaceDN/>
              <w:adjustRightInd/>
              <w:spacing w:after="0" w:line="240" w:lineRule="auto"/>
              <w:jc w:val="center"/>
              <w:rPr>
                <w:rFonts w:eastAsia="Times New Roman"/>
                <w:bCs w:val="0"/>
                <w:iCs/>
                <w:lang w:eastAsia="fr-FR"/>
              </w:rPr>
            </w:pPr>
            <w:r w:rsidRPr="00750033">
              <w:rPr>
                <w:rFonts w:eastAsia="Times New Roman"/>
                <w:bCs w:val="0"/>
                <w:iCs/>
                <w:sz w:val="22"/>
                <w:szCs w:val="22"/>
                <w:lang w:eastAsia="fr-FR"/>
              </w:rPr>
              <w:t>0,79</w:t>
            </w:r>
          </w:p>
        </w:tc>
      </w:tr>
      <w:tr w:rsidR="007339A4" w:rsidRPr="00985C27" w:rsidTr="00750033">
        <w:trPr>
          <w:trHeight w:val="870"/>
        </w:trPr>
        <w:tc>
          <w:tcPr>
            <w:tcW w:w="1668" w:type="dxa"/>
            <w:tcBorders>
              <w:top w:val="nil"/>
              <w:left w:val="single" w:sz="8" w:space="0" w:color="auto"/>
              <w:bottom w:val="nil"/>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
                <w:lang w:eastAsia="fr-FR"/>
              </w:rPr>
            </w:pPr>
            <w:r w:rsidRPr="00985C27">
              <w:rPr>
                <w:rFonts w:eastAsia="Times New Roman"/>
                <w:b/>
                <w:sz w:val="22"/>
                <w:szCs w:val="22"/>
                <w:lang w:eastAsia="fr-FR"/>
              </w:rPr>
              <w:t>Société d'assurances</w:t>
            </w:r>
          </w:p>
        </w:tc>
        <w:tc>
          <w:tcPr>
            <w:tcW w:w="1465" w:type="dxa"/>
            <w:tcBorders>
              <w:top w:val="nil"/>
              <w:left w:val="single" w:sz="4" w:space="0" w:color="auto"/>
              <w:bottom w:val="single" w:sz="4" w:space="0" w:color="auto"/>
              <w:right w:val="single" w:sz="4"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i/>
                <w:iCs/>
                <w:lang w:eastAsia="fr-FR"/>
              </w:rPr>
            </w:pPr>
            <w:r w:rsidRPr="00985C27">
              <w:rPr>
                <w:rFonts w:eastAsia="Times New Roman"/>
                <w:bCs w:val="0"/>
                <w:i/>
                <w:iCs/>
                <w:sz w:val="22"/>
                <w:szCs w:val="22"/>
                <w:lang w:eastAsia="fr-FR"/>
              </w:rPr>
              <w:t> </w:t>
            </w:r>
          </w:p>
        </w:tc>
        <w:tc>
          <w:tcPr>
            <w:tcW w:w="1417" w:type="dxa"/>
            <w:tcBorders>
              <w:top w:val="nil"/>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1276" w:type="dxa"/>
            <w:tcBorders>
              <w:top w:val="nil"/>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709" w:type="dxa"/>
            <w:tcBorders>
              <w:top w:val="nil"/>
              <w:left w:val="nil"/>
              <w:bottom w:val="single" w:sz="4" w:space="0" w:color="auto"/>
              <w:right w:val="single" w:sz="4" w:space="0" w:color="auto"/>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r w:rsidRPr="00985C27">
              <w:rPr>
                <w:rFonts w:eastAsia="Times New Roman"/>
                <w:bCs w:val="0"/>
                <w:sz w:val="22"/>
                <w:szCs w:val="22"/>
                <w:lang w:eastAsia="fr-FR"/>
              </w:rPr>
              <w:t> </w:t>
            </w:r>
          </w:p>
        </w:tc>
        <w:tc>
          <w:tcPr>
            <w:tcW w:w="850" w:type="dxa"/>
            <w:tcBorders>
              <w:top w:val="nil"/>
              <w:left w:val="nil"/>
              <w:bottom w:val="single" w:sz="4" w:space="0" w:color="auto"/>
              <w:right w:val="single" w:sz="4"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
                <w:lang w:eastAsia="fr-FR"/>
              </w:rPr>
            </w:pPr>
            <w:r w:rsidRPr="00985C27">
              <w:rPr>
                <w:rFonts w:eastAsia="Times New Roman"/>
                <w:b/>
                <w:sz w:val="22"/>
                <w:szCs w:val="22"/>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Cs w:val="0"/>
                <w:i/>
                <w:iCs/>
                <w:lang w:eastAsia="fr-FR"/>
              </w:rPr>
            </w:pPr>
            <w:r w:rsidRPr="00985C27">
              <w:rPr>
                <w:rFonts w:eastAsia="Times New Roman"/>
                <w:bCs w:val="0"/>
                <w:i/>
                <w:iCs/>
                <w:sz w:val="22"/>
                <w:szCs w:val="22"/>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985C27" w:rsidRPr="00750033" w:rsidRDefault="00985C27" w:rsidP="00985C27">
            <w:pPr>
              <w:autoSpaceDE/>
              <w:autoSpaceDN/>
              <w:adjustRightInd/>
              <w:spacing w:after="0" w:line="240" w:lineRule="auto"/>
              <w:jc w:val="center"/>
              <w:rPr>
                <w:rFonts w:eastAsia="Times New Roman"/>
                <w:bCs w:val="0"/>
                <w:iCs/>
                <w:lang w:eastAsia="fr-FR"/>
              </w:rPr>
            </w:pPr>
            <w:r w:rsidRPr="00750033">
              <w:rPr>
                <w:rFonts w:eastAsia="Times New Roman"/>
                <w:bCs w:val="0"/>
                <w:iCs/>
                <w:sz w:val="22"/>
                <w:szCs w:val="22"/>
                <w:lang w:eastAsia="fr-FR"/>
              </w:rPr>
              <w:t>171,15</w:t>
            </w:r>
          </w:p>
        </w:tc>
        <w:tc>
          <w:tcPr>
            <w:tcW w:w="992" w:type="dxa"/>
            <w:tcBorders>
              <w:top w:val="nil"/>
              <w:left w:val="nil"/>
              <w:bottom w:val="single" w:sz="4" w:space="0" w:color="auto"/>
              <w:right w:val="single" w:sz="4" w:space="0" w:color="auto"/>
            </w:tcBorders>
            <w:shd w:val="clear" w:color="auto" w:fill="auto"/>
            <w:noWrap/>
            <w:vAlign w:val="bottom"/>
            <w:hideMark/>
          </w:tcPr>
          <w:p w:rsidR="00985C27" w:rsidRPr="00750033" w:rsidRDefault="00985C27" w:rsidP="00985C27">
            <w:pPr>
              <w:autoSpaceDE/>
              <w:autoSpaceDN/>
              <w:adjustRightInd/>
              <w:spacing w:after="0" w:line="240" w:lineRule="auto"/>
              <w:jc w:val="center"/>
              <w:rPr>
                <w:rFonts w:eastAsia="Times New Roman"/>
                <w:bCs w:val="0"/>
                <w:iCs/>
                <w:lang w:eastAsia="fr-FR"/>
              </w:rPr>
            </w:pPr>
            <w:r w:rsidRPr="00750033">
              <w:rPr>
                <w:rFonts w:eastAsia="Times New Roman"/>
                <w:bCs w:val="0"/>
                <w:iCs/>
                <w:sz w:val="22"/>
                <w:szCs w:val="22"/>
                <w:lang w:eastAsia="fr-FR"/>
              </w:rPr>
              <w:t>2,16</w:t>
            </w:r>
          </w:p>
        </w:tc>
      </w:tr>
      <w:tr w:rsidR="007339A4" w:rsidRPr="00985C27" w:rsidTr="00750033">
        <w:trPr>
          <w:trHeight w:val="1417"/>
        </w:trPr>
        <w:tc>
          <w:tcPr>
            <w:tcW w:w="1668" w:type="dxa"/>
            <w:tcBorders>
              <w:top w:val="nil"/>
              <w:left w:val="single" w:sz="8" w:space="0" w:color="auto"/>
              <w:bottom w:val="nil"/>
              <w:right w:val="single" w:sz="8" w:space="0" w:color="auto"/>
            </w:tcBorders>
            <w:shd w:val="clear" w:color="auto" w:fill="auto"/>
            <w:vAlign w:val="bottom"/>
            <w:hideMark/>
          </w:tcPr>
          <w:p w:rsidR="00985C27" w:rsidRPr="00985C27" w:rsidRDefault="00A620DF" w:rsidP="00985C27">
            <w:pPr>
              <w:autoSpaceDE/>
              <w:autoSpaceDN/>
              <w:adjustRightInd/>
              <w:spacing w:after="0" w:line="240" w:lineRule="auto"/>
              <w:jc w:val="left"/>
              <w:rPr>
                <w:rFonts w:eastAsia="Times New Roman"/>
                <w:b/>
                <w:lang w:eastAsia="fr-FR"/>
              </w:rPr>
            </w:pPr>
            <w:r>
              <w:rPr>
                <w:rFonts w:eastAsia="Times New Roman"/>
                <w:b/>
                <w:sz w:val="22"/>
                <w:szCs w:val="22"/>
                <w:lang w:eastAsia="fr-FR"/>
              </w:rPr>
              <w:t>Soci</w:t>
            </w:r>
            <w:r w:rsidR="00985C27" w:rsidRPr="00985C27">
              <w:rPr>
                <w:rFonts w:eastAsia="Times New Roman"/>
                <w:b/>
                <w:sz w:val="22"/>
                <w:szCs w:val="22"/>
                <w:lang w:eastAsia="fr-FR"/>
              </w:rPr>
              <w:t>été( hors sociétés d'assurances) (part de HF.RI.1.2)</w:t>
            </w:r>
          </w:p>
        </w:tc>
        <w:tc>
          <w:tcPr>
            <w:tcW w:w="1465" w:type="dxa"/>
            <w:tcBorders>
              <w:top w:val="nil"/>
              <w:left w:val="nil"/>
              <w:bottom w:val="nil"/>
              <w:right w:val="nil"/>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Cs w:val="0"/>
                <w:i/>
                <w:iCs/>
                <w:lang w:eastAsia="fr-FR"/>
              </w:rPr>
            </w:pPr>
            <w:r w:rsidRPr="00985C27">
              <w:rPr>
                <w:rFonts w:eastAsia="Times New Roman"/>
                <w:bCs w:val="0"/>
                <w:i/>
                <w:iCs/>
                <w:sz w:val="22"/>
                <w:szCs w:val="22"/>
                <w:lang w:eastAsia="fr-FR"/>
              </w:rPr>
              <w:t> </w:t>
            </w:r>
          </w:p>
        </w:tc>
        <w:tc>
          <w:tcPr>
            <w:tcW w:w="1417" w:type="dxa"/>
            <w:tcBorders>
              <w:top w:val="nil"/>
              <w:left w:val="nil"/>
              <w:bottom w:val="nil"/>
              <w:right w:val="nil"/>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1276" w:type="dxa"/>
            <w:tcBorders>
              <w:top w:val="nil"/>
              <w:left w:val="nil"/>
              <w:bottom w:val="nil"/>
              <w:right w:val="nil"/>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709" w:type="dxa"/>
            <w:tcBorders>
              <w:top w:val="nil"/>
              <w:left w:val="nil"/>
              <w:bottom w:val="nil"/>
              <w:right w:val="nil"/>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850" w:type="dxa"/>
            <w:tcBorders>
              <w:top w:val="nil"/>
              <w:left w:val="nil"/>
              <w:bottom w:val="nil"/>
              <w:right w:val="nil"/>
            </w:tcBorders>
            <w:shd w:val="clear" w:color="auto" w:fill="auto"/>
            <w:hideMark/>
          </w:tcPr>
          <w:p w:rsidR="00985C27" w:rsidRPr="00985C27" w:rsidRDefault="00985C27" w:rsidP="00985C27">
            <w:pPr>
              <w:autoSpaceDE/>
              <w:autoSpaceDN/>
              <w:adjustRightInd/>
              <w:spacing w:after="0" w:line="240" w:lineRule="auto"/>
              <w:jc w:val="left"/>
              <w:rPr>
                <w:rFonts w:eastAsia="Times New Roman"/>
                <w:bCs w:val="0"/>
                <w:lang w:eastAsia="fr-FR"/>
              </w:rPr>
            </w:pPr>
          </w:p>
        </w:tc>
        <w:tc>
          <w:tcPr>
            <w:tcW w:w="993" w:type="dxa"/>
            <w:tcBorders>
              <w:top w:val="nil"/>
              <w:left w:val="nil"/>
              <w:bottom w:val="nil"/>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Cs w:val="0"/>
                <w:i/>
                <w:iCs/>
                <w:lang w:eastAsia="fr-FR"/>
              </w:rPr>
            </w:pPr>
            <w:r w:rsidRPr="00985C27">
              <w:rPr>
                <w:rFonts w:eastAsia="Times New Roman"/>
                <w:bCs w:val="0"/>
                <w:i/>
                <w:iCs/>
                <w:sz w:val="22"/>
                <w:szCs w:val="22"/>
                <w:lang w:eastAsia="fr-FR"/>
              </w:rPr>
              <w:t> </w:t>
            </w:r>
          </w:p>
        </w:tc>
        <w:tc>
          <w:tcPr>
            <w:tcW w:w="992" w:type="dxa"/>
            <w:tcBorders>
              <w:top w:val="nil"/>
              <w:left w:val="nil"/>
              <w:bottom w:val="nil"/>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ascii="Calibri" w:eastAsia="Times New Roman" w:hAnsi="Calibri"/>
                <w:b/>
                <w:lang w:eastAsia="fr-FR"/>
              </w:rPr>
            </w:pPr>
            <w:r w:rsidRPr="00985C27">
              <w:rPr>
                <w:rFonts w:ascii="Calibri" w:eastAsia="Times New Roman" w:hAnsi="Calibri"/>
                <w:b/>
                <w:sz w:val="22"/>
                <w:szCs w:val="22"/>
                <w:lang w:eastAsia="fr-FR"/>
              </w:rPr>
              <w:t>20,92</w:t>
            </w:r>
          </w:p>
        </w:tc>
        <w:tc>
          <w:tcPr>
            <w:tcW w:w="992" w:type="dxa"/>
            <w:tcBorders>
              <w:top w:val="nil"/>
              <w:left w:val="nil"/>
              <w:bottom w:val="nil"/>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
                <w:lang w:eastAsia="fr-FR"/>
              </w:rPr>
            </w:pPr>
            <w:r w:rsidRPr="00985C27">
              <w:rPr>
                <w:rFonts w:eastAsia="Times New Roman"/>
                <w:b/>
                <w:sz w:val="22"/>
                <w:szCs w:val="22"/>
                <w:lang w:eastAsia="fr-FR"/>
              </w:rPr>
              <w:t>0,26</w:t>
            </w:r>
          </w:p>
        </w:tc>
      </w:tr>
      <w:tr w:rsidR="007339A4" w:rsidRPr="00985C27" w:rsidTr="00750033">
        <w:trPr>
          <w:trHeight w:val="1395"/>
        </w:trPr>
        <w:tc>
          <w:tcPr>
            <w:tcW w:w="166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5C27" w:rsidRPr="00985C27" w:rsidRDefault="00985C27" w:rsidP="00985C27">
            <w:pPr>
              <w:autoSpaceDE/>
              <w:autoSpaceDN/>
              <w:adjustRightInd/>
              <w:spacing w:after="0" w:line="240" w:lineRule="auto"/>
              <w:jc w:val="left"/>
              <w:rPr>
                <w:rFonts w:eastAsia="Times New Roman"/>
                <w:b/>
                <w:lang w:eastAsia="fr-FR"/>
              </w:rPr>
            </w:pPr>
            <w:r w:rsidRPr="00985C27">
              <w:rPr>
                <w:rFonts w:eastAsia="Times New Roman"/>
                <w:b/>
                <w:sz w:val="22"/>
                <w:szCs w:val="22"/>
                <w:lang w:eastAsia="fr-FR"/>
              </w:rPr>
              <w:t>Institutions sans but lucratif au service des ménages (ISBLSM)</w:t>
            </w:r>
          </w:p>
        </w:tc>
        <w:tc>
          <w:tcPr>
            <w:tcW w:w="6710"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rsidR="00985C27" w:rsidRPr="00985C27" w:rsidRDefault="00985C27" w:rsidP="00985C27">
            <w:pPr>
              <w:autoSpaceDE/>
              <w:autoSpaceDN/>
              <w:adjustRightInd/>
              <w:spacing w:after="0" w:line="240" w:lineRule="auto"/>
              <w:jc w:val="left"/>
              <w:rPr>
                <w:rFonts w:eastAsia="Times New Roman"/>
                <w:b/>
                <w:i/>
                <w:iCs/>
                <w:lang w:eastAsia="fr-FR"/>
              </w:rPr>
            </w:pPr>
            <w:r w:rsidRPr="00985C27">
              <w:rPr>
                <w:rFonts w:eastAsia="Times New Roman"/>
                <w:b/>
                <w:i/>
                <w:iCs/>
                <w:sz w:val="22"/>
                <w:szCs w:val="22"/>
                <w:lang w:eastAsia="fr-FR"/>
              </w:rPr>
              <w:t> </w:t>
            </w:r>
            <w:r w:rsidRPr="00985C27">
              <w:rPr>
                <w:rFonts w:eastAsia="Times New Roman"/>
                <w:bCs w:val="0"/>
                <w:sz w:val="22"/>
                <w:szCs w:val="22"/>
                <w:lang w:eastAsia="fr-FR"/>
              </w:rPr>
              <w:t>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
                <w:lang w:eastAsia="fr-FR"/>
              </w:rPr>
            </w:pPr>
            <w:r w:rsidRPr="00985C27">
              <w:rPr>
                <w:rFonts w:eastAsia="Times New Roman"/>
                <w:b/>
                <w:sz w:val="22"/>
                <w:szCs w:val="22"/>
                <w:lang w:eastAsia="fr-FR"/>
              </w:rPr>
              <w:t>1533,53</w:t>
            </w:r>
          </w:p>
        </w:tc>
        <w:tc>
          <w:tcPr>
            <w:tcW w:w="992" w:type="dxa"/>
            <w:vMerge w:val="restart"/>
            <w:tcBorders>
              <w:top w:val="single" w:sz="8" w:space="0" w:color="000000"/>
              <w:left w:val="single" w:sz="8" w:space="0" w:color="auto"/>
              <w:bottom w:val="single" w:sz="8" w:space="0" w:color="000000"/>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center"/>
              <w:rPr>
                <w:rFonts w:eastAsia="Times New Roman"/>
                <w:b/>
                <w:lang w:eastAsia="fr-FR"/>
              </w:rPr>
            </w:pPr>
            <w:r w:rsidRPr="00985C27">
              <w:rPr>
                <w:rFonts w:eastAsia="Times New Roman"/>
                <w:b/>
                <w:sz w:val="22"/>
                <w:szCs w:val="22"/>
                <w:lang w:eastAsia="fr-FR"/>
              </w:rPr>
              <w:t>19,35</w:t>
            </w:r>
          </w:p>
        </w:tc>
      </w:tr>
      <w:tr w:rsidR="000045E6" w:rsidRPr="00985C27" w:rsidTr="00750033">
        <w:trPr>
          <w:trHeight w:val="276"/>
        </w:trPr>
        <w:tc>
          <w:tcPr>
            <w:tcW w:w="1668" w:type="dxa"/>
            <w:vMerge/>
            <w:tcBorders>
              <w:top w:val="single" w:sz="8" w:space="0" w:color="auto"/>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c>
          <w:tcPr>
            <w:tcW w:w="6710" w:type="dxa"/>
            <w:gridSpan w:val="6"/>
            <w:vMerge/>
            <w:tcBorders>
              <w:top w:val="single" w:sz="8" w:space="0" w:color="auto"/>
              <w:left w:val="single" w:sz="8" w:space="0" w:color="auto"/>
              <w:bottom w:val="single" w:sz="8" w:space="0" w:color="000000"/>
              <w:right w:val="single" w:sz="8" w:space="0" w:color="000000"/>
            </w:tcBorders>
            <w:vAlign w:val="center"/>
            <w:hideMark/>
          </w:tcPr>
          <w:p w:rsidR="00985C27" w:rsidRPr="00985C27" w:rsidRDefault="00985C27" w:rsidP="00985C27">
            <w:pPr>
              <w:autoSpaceDE/>
              <w:autoSpaceDN/>
              <w:adjustRightInd/>
              <w:spacing w:after="0" w:line="240" w:lineRule="auto"/>
              <w:jc w:val="left"/>
              <w:rPr>
                <w:rFonts w:eastAsia="Times New Roman"/>
                <w:b/>
                <w:i/>
                <w:iCs/>
                <w:lang w:eastAsia="fr-FR"/>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c>
          <w:tcPr>
            <w:tcW w:w="992" w:type="dxa"/>
            <w:vMerge/>
            <w:tcBorders>
              <w:top w:val="single" w:sz="8" w:space="0" w:color="000000"/>
              <w:left w:val="single" w:sz="8" w:space="0" w:color="auto"/>
              <w:bottom w:val="single" w:sz="8" w:space="0" w:color="000000"/>
              <w:right w:val="single" w:sz="8" w:space="0" w:color="auto"/>
            </w:tcBorders>
            <w:vAlign w:val="center"/>
            <w:hideMark/>
          </w:tcPr>
          <w:p w:rsidR="00985C27" w:rsidRPr="00985C27" w:rsidRDefault="00985C27" w:rsidP="00985C27">
            <w:pPr>
              <w:autoSpaceDE/>
              <w:autoSpaceDN/>
              <w:adjustRightInd/>
              <w:spacing w:after="0" w:line="240" w:lineRule="auto"/>
              <w:jc w:val="left"/>
              <w:rPr>
                <w:rFonts w:eastAsia="Times New Roman"/>
                <w:b/>
                <w:lang w:eastAsia="fr-FR"/>
              </w:rPr>
            </w:pPr>
          </w:p>
        </w:tc>
      </w:tr>
      <w:tr w:rsidR="007339A4" w:rsidRPr="00985C27" w:rsidTr="00750033">
        <w:trPr>
          <w:trHeight w:val="315"/>
        </w:trPr>
        <w:tc>
          <w:tcPr>
            <w:tcW w:w="1668" w:type="dxa"/>
            <w:tcBorders>
              <w:top w:val="nil"/>
              <w:left w:val="single" w:sz="8" w:space="0" w:color="auto"/>
              <w:bottom w:val="single" w:sz="8" w:space="0" w:color="auto"/>
              <w:right w:val="single" w:sz="8" w:space="0" w:color="auto"/>
            </w:tcBorders>
            <w:shd w:val="clear" w:color="auto" w:fill="auto"/>
            <w:noWrap/>
            <w:vAlign w:val="bottom"/>
            <w:hideMark/>
          </w:tcPr>
          <w:p w:rsidR="00985C27" w:rsidRPr="00985C27" w:rsidRDefault="00985C27" w:rsidP="00985C27">
            <w:pPr>
              <w:autoSpaceDE/>
              <w:autoSpaceDN/>
              <w:adjustRightInd/>
              <w:spacing w:after="0" w:line="240" w:lineRule="auto"/>
              <w:jc w:val="left"/>
              <w:rPr>
                <w:rFonts w:eastAsia="Times New Roman"/>
                <w:b/>
                <w:lang w:eastAsia="fr-FR"/>
              </w:rPr>
            </w:pPr>
            <w:r w:rsidRPr="00985C27">
              <w:rPr>
                <w:rFonts w:eastAsia="Times New Roman"/>
                <w:b/>
                <w:sz w:val="22"/>
                <w:szCs w:val="22"/>
                <w:lang w:eastAsia="fr-FR"/>
              </w:rPr>
              <w:t>Total</w:t>
            </w:r>
          </w:p>
        </w:tc>
        <w:tc>
          <w:tcPr>
            <w:tcW w:w="6710" w:type="dxa"/>
            <w:gridSpan w:val="6"/>
            <w:tcBorders>
              <w:top w:val="single" w:sz="8" w:space="0" w:color="auto"/>
              <w:left w:val="nil"/>
              <w:bottom w:val="single" w:sz="8" w:space="0" w:color="auto"/>
              <w:right w:val="single" w:sz="8" w:space="0" w:color="000000"/>
            </w:tcBorders>
            <w:shd w:val="clear" w:color="auto" w:fill="auto"/>
            <w:noWrap/>
            <w:vAlign w:val="bottom"/>
            <w:hideMark/>
          </w:tcPr>
          <w:p w:rsidR="00985C27" w:rsidRPr="00985C27" w:rsidRDefault="00985C27" w:rsidP="00985C27">
            <w:pPr>
              <w:autoSpaceDE/>
              <w:autoSpaceDN/>
              <w:adjustRightInd/>
              <w:spacing w:after="0" w:line="240" w:lineRule="auto"/>
              <w:jc w:val="left"/>
              <w:rPr>
                <w:rFonts w:eastAsia="Times New Roman"/>
                <w:bCs w:val="0"/>
                <w:i/>
                <w:iCs/>
                <w:lang w:eastAsia="fr-FR"/>
              </w:rPr>
            </w:pPr>
            <w:r w:rsidRPr="00985C27">
              <w:rPr>
                <w:rFonts w:eastAsia="Times New Roman"/>
                <w:bCs w:val="0"/>
                <w:i/>
                <w:iCs/>
                <w:sz w:val="22"/>
                <w:szCs w:val="22"/>
                <w:lang w:eastAsia="fr-FR"/>
              </w:rPr>
              <w:t> </w:t>
            </w:r>
          </w:p>
        </w:tc>
        <w:tc>
          <w:tcPr>
            <w:tcW w:w="992" w:type="dxa"/>
            <w:tcBorders>
              <w:top w:val="nil"/>
              <w:left w:val="nil"/>
              <w:bottom w:val="single" w:sz="8" w:space="0" w:color="auto"/>
              <w:right w:val="single" w:sz="8" w:space="0" w:color="auto"/>
            </w:tcBorders>
            <w:shd w:val="clear" w:color="auto" w:fill="auto"/>
            <w:noWrap/>
            <w:vAlign w:val="bottom"/>
            <w:hideMark/>
          </w:tcPr>
          <w:p w:rsidR="00985C27" w:rsidRPr="00985C27" w:rsidRDefault="00985C27" w:rsidP="00750033">
            <w:pPr>
              <w:autoSpaceDE/>
              <w:autoSpaceDN/>
              <w:adjustRightInd/>
              <w:spacing w:after="0" w:line="240" w:lineRule="auto"/>
              <w:jc w:val="center"/>
              <w:rPr>
                <w:rFonts w:ascii="Calibri" w:eastAsia="Times New Roman" w:hAnsi="Calibri"/>
                <w:b/>
                <w:lang w:eastAsia="fr-FR"/>
              </w:rPr>
            </w:pPr>
            <w:r w:rsidRPr="00985C27">
              <w:rPr>
                <w:rFonts w:ascii="Calibri" w:eastAsia="Times New Roman" w:hAnsi="Calibri"/>
                <w:b/>
                <w:sz w:val="22"/>
                <w:szCs w:val="22"/>
                <w:lang w:eastAsia="fr-FR"/>
              </w:rPr>
              <w:t>7924,64</w:t>
            </w:r>
          </w:p>
        </w:tc>
        <w:tc>
          <w:tcPr>
            <w:tcW w:w="992" w:type="dxa"/>
            <w:tcBorders>
              <w:top w:val="nil"/>
              <w:left w:val="nil"/>
              <w:bottom w:val="single" w:sz="8" w:space="0" w:color="auto"/>
              <w:right w:val="single" w:sz="8" w:space="0" w:color="auto"/>
            </w:tcBorders>
            <w:shd w:val="clear" w:color="auto" w:fill="auto"/>
            <w:noWrap/>
            <w:vAlign w:val="bottom"/>
            <w:hideMark/>
          </w:tcPr>
          <w:p w:rsidR="00985C27" w:rsidRPr="00985C27" w:rsidRDefault="00985C27" w:rsidP="00750033">
            <w:pPr>
              <w:autoSpaceDE/>
              <w:autoSpaceDN/>
              <w:adjustRightInd/>
              <w:spacing w:after="0" w:line="240" w:lineRule="auto"/>
              <w:jc w:val="center"/>
              <w:rPr>
                <w:rFonts w:eastAsia="Times New Roman"/>
                <w:b/>
                <w:lang w:eastAsia="fr-FR"/>
              </w:rPr>
            </w:pPr>
            <w:r w:rsidRPr="00985C27">
              <w:rPr>
                <w:rFonts w:eastAsia="Times New Roman"/>
                <w:b/>
                <w:sz w:val="22"/>
                <w:szCs w:val="22"/>
                <w:lang w:eastAsia="fr-FR"/>
              </w:rPr>
              <w:t>100</w:t>
            </w:r>
          </w:p>
        </w:tc>
      </w:tr>
    </w:tbl>
    <w:p w:rsidR="00985C27" w:rsidRDefault="00985C27" w:rsidP="00587784">
      <w:pPr>
        <w:spacing w:line="312" w:lineRule="auto"/>
      </w:pPr>
    </w:p>
    <w:p w:rsidR="00006B9D" w:rsidRPr="0044670F" w:rsidRDefault="00006B9D" w:rsidP="00006B9D">
      <w:pPr>
        <w:spacing w:before="240" w:line="312" w:lineRule="auto"/>
      </w:pPr>
      <w:r>
        <w:t xml:space="preserve">Deux  </w:t>
      </w:r>
      <w:r w:rsidRPr="0044670F">
        <w:t>principaux agents de financement ont géré les fonds consacrés à la lutte contre la tuberculose. Il s’agit en premier lieu de l’administration publique suivie des institut</w:t>
      </w:r>
      <w:r>
        <w:t>ions sans but lucratif</w:t>
      </w:r>
      <w:r w:rsidRPr="0044670F">
        <w:t xml:space="preserve"> au service des ménages avec respectivement </w:t>
      </w:r>
      <w:r w:rsidR="00170F2A" w:rsidRPr="00A620DF">
        <w:t>77,44</w:t>
      </w:r>
      <w:r w:rsidRPr="0044670F">
        <w:t xml:space="preserve"> % et </w:t>
      </w:r>
      <w:r w:rsidR="00170F2A">
        <w:t>19,35</w:t>
      </w:r>
      <w:r w:rsidRPr="0044670F">
        <w:t xml:space="preserve"> % </w:t>
      </w:r>
      <w:r>
        <w:t xml:space="preserve"> des fonds.</w:t>
      </w:r>
    </w:p>
    <w:p w:rsidR="00006B9D" w:rsidRPr="00DE6623" w:rsidRDefault="00006B9D" w:rsidP="00947090">
      <w:pPr>
        <w:pStyle w:val="Titre3"/>
        <w:numPr>
          <w:ilvl w:val="2"/>
          <w:numId w:val="34"/>
        </w:numPr>
        <w:rPr>
          <w:lang w:eastAsia="fr-FR"/>
        </w:rPr>
      </w:pPr>
      <w:r w:rsidRPr="00DE6623">
        <w:rPr>
          <w:lang w:eastAsia="fr-FR"/>
        </w:rPr>
        <w:t>Dépenses par prestataires des soins de santé pour la tuberculose </w:t>
      </w:r>
    </w:p>
    <w:p w:rsidR="006675DA" w:rsidRPr="00A620DF" w:rsidRDefault="00006B9D" w:rsidP="00A620DF">
      <w:pPr>
        <w:spacing w:line="312" w:lineRule="auto"/>
      </w:pPr>
      <w:r w:rsidRPr="0044670F">
        <w:t>Le tableau  récapitule les dépenses par prestataires de soins de santé pour la tuberculose.</w:t>
      </w:r>
    </w:p>
    <w:p w:rsidR="00006B9D" w:rsidRPr="00BA4FCD" w:rsidRDefault="00006B9D" w:rsidP="00006B9D">
      <w:pPr>
        <w:pStyle w:val="Lgende"/>
        <w:rPr>
          <w:color w:val="000000" w:themeColor="text1"/>
          <w:sz w:val="22"/>
          <w:szCs w:val="22"/>
        </w:rPr>
      </w:pPr>
      <w:bookmarkStart w:id="74" w:name="_Toc483991278"/>
      <w:r w:rsidRPr="00BA4FCD">
        <w:rPr>
          <w:color w:val="000000" w:themeColor="text1"/>
          <w:sz w:val="22"/>
          <w:szCs w:val="22"/>
        </w:rPr>
        <w:t xml:space="preserve">Tableau </w:t>
      </w:r>
      <w:r w:rsidR="00E72F8E">
        <w:rPr>
          <w:color w:val="000000" w:themeColor="text1"/>
          <w:sz w:val="22"/>
          <w:szCs w:val="22"/>
        </w:rPr>
        <w:fldChar w:fldCharType="begin"/>
      </w:r>
      <w:r>
        <w:rPr>
          <w:color w:val="000000" w:themeColor="text1"/>
          <w:sz w:val="22"/>
          <w:szCs w:val="22"/>
        </w:rPr>
        <w:instrText xml:space="preserve"> STYLEREF 2 \s </w:instrText>
      </w:r>
      <w:r w:rsidR="00E72F8E">
        <w:rPr>
          <w:color w:val="000000" w:themeColor="text1"/>
          <w:sz w:val="22"/>
          <w:szCs w:val="22"/>
        </w:rPr>
        <w:fldChar w:fldCharType="separate"/>
      </w:r>
      <w:r>
        <w:rPr>
          <w:noProof/>
          <w:color w:val="000000" w:themeColor="text1"/>
          <w:sz w:val="22"/>
          <w:szCs w:val="22"/>
        </w:rPr>
        <w:t>5.2</w:t>
      </w:r>
      <w:r w:rsidR="00E72F8E">
        <w:rPr>
          <w:color w:val="000000" w:themeColor="text1"/>
          <w:sz w:val="22"/>
          <w:szCs w:val="22"/>
        </w:rPr>
        <w:fldChar w:fldCharType="end"/>
      </w:r>
      <w:r>
        <w:rPr>
          <w:color w:val="000000" w:themeColor="text1"/>
          <w:sz w:val="22"/>
          <w:szCs w:val="22"/>
        </w:rPr>
        <w:t>.</w:t>
      </w:r>
      <w:r w:rsidR="00E72F8E">
        <w:rPr>
          <w:color w:val="000000" w:themeColor="text1"/>
          <w:sz w:val="22"/>
          <w:szCs w:val="22"/>
        </w:rPr>
        <w:fldChar w:fldCharType="begin"/>
      </w:r>
      <w:r>
        <w:rPr>
          <w:color w:val="000000" w:themeColor="text1"/>
          <w:sz w:val="22"/>
          <w:szCs w:val="22"/>
        </w:rPr>
        <w:instrText xml:space="preserve"> SEQ Tableau \* ARABIC \s 2 </w:instrText>
      </w:r>
      <w:r w:rsidR="00E72F8E">
        <w:rPr>
          <w:color w:val="000000" w:themeColor="text1"/>
          <w:sz w:val="22"/>
          <w:szCs w:val="22"/>
        </w:rPr>
        <w:fldChar w:fldCharType="separate"/>
      </w:r>
      <w:r>
        <w:rPr>
          <w:noProof/>
          <w:color w:val="000000" w:themeColor="text1"/>
          <w:sz w:val="22"/>
          <w:szCs w:val="22"/>
        </w:rPr>
        <w:t>4</w:t>
      </w:r>
      <w:r w:rsidR="00E72F8E">
        <w:rPr>
          <w:color w:val="000000" w:themeColor="text1"/>
          <w:sz w:val="22"/>
          <w:szCs w:val="22"/>
        </w:rPr>
        <w:fldChar w:fldCharType="end"/>
      </w:r>
      <w:r w:rsidRPr="00BA4FCD">
        <w:rPr>
          <w:color w:val="000000" w:themeColor="text1"/>
          <w:sz w:val="22"/>
          <w:szCs w:val="22"/>
        </w:rPr>
        <w:t>: Dépenses par prestataires de soins de santé pour la tuberculose</w:t>
      </w:r>
      <w:bookmarkEnd w:id="74"/>
    </w:p>
    <w:tbl>
      <w:tblPr>
        <w:tblW w:w="5000" w:type="pct"/>
        <w:tblCellMar>
          <w:left w:w="70" w:type="dxa"/>
          <w:right w:w="70" w:type="dxa"/>
        </w:tblCellMar>
        <w:tblLook w:val="04A0"/>
      </w:tblPr>
      <w:tblGrid>
        <w:gridCol w:w="1460"/>
        <w:gridCol w:w="1545"/>
        <w:gridCol w:w="1411"/>
        <w:gridCol w:w="1375"/>
        <w:gridCol w:w="752"/>
        <w:gridCol w:w="752"/>
        <w:gridCol w:w="752"/>
        <w:gridCol w:w="754"/>
        <w:gridCol w:w="745"/>
      </w:tblGrid>
      <w:tr w:rsidR="006675DA" w:rsidRPr="006675DA" w:rsidTr="00750033">
        <w:trPr>
          <w:trHeight w:val="315"/>
        </w:trPr>
        <w:tc>
          <w:tcPr>
            <w:tcW w:w="3033" w:type="pct"/>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675DA" w:rsidRPr="006675DA" w:rsidRDefault="006675DA">
            <w:pPr>
              <w:autoSpaceDE/>
              <w:autoSpaceDN/>
              <w:adjustRightInd/>
              <w:spacing w:after="0" w:line="240" w:lineRule="auto"/>
              <w:jc w:val="center"/>
              <w:rPr>
                <w:rFonts w:eastAsia="Times New Roman"/>
                <w:b/>
                <w:lang w:eastAsia="fr-FR"/>
              </w:rPr>
            </w:pPr>
            <w:r w:rsidRPr="006675DA">
              <w:rPr>
                <w:rFonts w:eastAsia="Times New Roman"/>
                <w:b/>
                <w:lang w:eastAsia="fr-FR"/>
              </w:rPr>
              <w:t>Prestataires</w:t>
            </w:r>
          </w:p>
        </w:tc>
        <w:tc>
          <w:tcPr>
            <w:tcW w:w="1577" w:type="pct"/>
            <w:gridSpan w:val="4"/>
            <w:tcBorders>
              <w:top w:val="single" w:sz="8" w:space="0" w:color="auto"/>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lang w:eastAsia="fr-FR"/>
              </w:rPr>
              <w:t>Dépenses</w:t>
            </w:r>
          </w:p>
        </w:tc>
        <w:tc>
          <w:tcPr>
            <w:tcW w:w="390" w:type="pct"/>
            <w:tcBorders>
              <w:top w:val="single" w:sz="8" w:space="0" w:color="auto"/>
              <w:left w:val="nil"/>
              <w:bottom w:val="single" w:sz="4" w:space="0" w:color="auto"/>
              <w:right w:val="single" w:sz="8"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lang w:eastAsia="fr-FR"/>
              </w:rPr>
              <w:t>%</w:t>
            </w:r>
          </w:p>
        </w:tc>
      </w:tr>
      <w:tr w:rsidR="006675DA" w:rsidRPr="006675DA" w:rsidTr="00750033">
        <w:trPr>
          <w:trHeight w:val="1045"/>
        </w:trPr>
        <w:tc>
          <w:tcPr>
            <w:tcW w:w="765" w:type="pct"/>
            <w:vMerge w:val="restart"/>
            <w:tcBorders>
              <w:top w:val="nil"/>
              <w:left w:val="single" w:sz="8" w:space="0" w:color="auto"/>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Hôpitaux</w:t>
            </w:r>
          </w:p>
        </w:tc>
        <w:tc>
          <w:tcPr>
            <w:tcW w:w="809" w:type="pct"/>
            <w:vMerge w:val="restart"/>
            <w:tcBorders>
              <w:top w:val="nil"/>
              <w:left w:val="single" w:sz="4" w:space="0" w:color="auto"/>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i/>
                <w:iCs/>
                <w:lang w:eastAsia="fr-FR"/>
              </w:rPr>
            </w:pPr>
            <w:r w:rsidRPr="006675DA">
              <w:rPr>
                <w:rFonts w:eastAsia="Times New Roman"/>
                <w:bCs w:val="0"/>
                <w:i/>
                <w:iCs/>
                <w:sz w:val="22"/>
                <w:szCs w:val="22"/>
                <w:lang w:eastAsia="fr-FR"/>
              </w:rPr>
              <w:t>Hôpitaux généraux</w:t>
            </w:r>
          </w:p>
        </w:tc>
        <w:tc>
          <w:tcPr>
            <w:tcW w:w="739" w:type="pct"/>
            <w:vMerge w:val="restart"/>
            <w:tcBorders>
              <w:top w:val="nil"/>
              <w:left w:val="single" w:sz="4" w:space="0" w:color="auto"/>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Hôpitaux généraux publics</w:t>
            </w: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Centres Hospitaliers Universitaires (CHU)</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18,52</w:t>
            </w:r>
          </w:p>
        </w:tc>
        <w:tc>
          <w:tcPr>
            <w:tcW w:w="39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393,21</w:t>
            </w:r>
          </w:p>
        </w:tc>
        <w:tc>
          <w:tcPr>
            <w:tcW w:w="39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i/>
                <w:iCs/>
                <w:lang w:eastAsia="fr-FR"/>
              </w:rPr>
            </w:pPr>
            <w:r w:rsidRPr="006675DA">
              <w:rPr>
                <w:rFonts w:eastAsia="Times New Roman"/>
                <w:bCs w:val="0"/>
                <w:i/>
                <w:iCs/>
                <w:sz w:val="22"/>
                <w:szCs w:val="22"/>
                <w:lang w:eastAsia="fr-FR"/>
              </w:rPr>
              <w:t>393,25</w:t>
            </w:r>
          </w:p>
        </w:tc>
        <w:tc>
          <w:tcPr>
            <w:tcW w:w="3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393,25</w:t>
            </w:r>
          </w:p>
        </w:tc>
        <w:tc>
          <w:tcPr>
            <w:tcW w:w="390"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50,56</w:t>
            </w:r>
          </w:p>
        </w:tc>
      </w:tr>
      <w:tr w:rsidR="0005674C" w:rsidRPr="006675DA" w:rsidTr="00750033">
        <w:trPr>
          <w:trHeight w:val="988"/>
        </w:trPr>
        <w:tc>
          <w:tcPr>
            <w:tcW w:w="765" w:type="pct"/>
            <w:vMerge/>
            <w:tcBorders>
              <w:top w:val="nil"/>
              <w:left w:val="single" w:sz="8"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
                <w:lang w:eastAsia="fr-FR"/>
              </w:rPr>
            </w:pPr>
          </w:p>
        </w:tc>
        <w:tc>
          <w:tcPr>
            <w:tcW w:w="809" w:type="pct"/>
            <w:vMerge/>
            <w:tcBorders>
              <w:top w:val="nil"/>
              <w:left w:val="single" w:sz="4"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Cs w:val="0"/>
                <w:i/>
                <w:iCs/>
                <w:lang w:eastAsia="fr-FR"/>
              </w:rPr>
            </w:pPr>
          </w:p>
        </w:tc>
        <w:tc>
          <w:tcPr>
            <w:tcW w:w="739" w:type="pct"/>
            <w:vMerge/>
            <w:tcBorders>
              <w:top w:val="nil"/>
              <w:left w:val="single" w:sz="4"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Cs w:val="0"/>
                <w:lang w:eastAsia="fr-FR"/>
              </w:rPr>
            </w:pP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Centres Hospitaliers régionaux (CHR)</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4,83</w:t>
            </w:r>
          </w:p>
        </w:tc>
        <w:tc>
          <w:tcPr>
            <w:tcW w:w="394"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Cs w:val="0"/>
                <w:lang w:eastAsia="fr-FR"/>
              </w:rPr>
            </w:pPr>
          </w:p>
        </w:tc>
        <w:tc>
          <w:tcPr>
            <w:tcW w:w="394"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Cs w:val="0"/>
                <w:i/>
                <w:iCs/>
                <w:lang w:eastAsia="fr-FR"/>
              </w:rPr>
            </w:pPr>
          </w:p>
        </w:tc>
        <w:tc>
          <w:tcPr>
            <w:tcW w:w="395"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
                <w:lang w:eastAsia="fr-FR"/>
              </w:rPr>
            </w:pPr>
          </w:p>
        </w:tc>
        <w:tc>
          <w:tcPr>
            <w:tcW w:w="390" w:type="pct"/>
            <w:vMerge/>
            <w:tcBorders>
              <w:top w:val="nil"/>
              <w:left w:val="single" w:sz="4" w:space="0" w:color="auto"/>
              <w:bottom w:val="single" w:sz="4" w:space="0" w:color="000000"/>
              <w:right w:val="single" w:sz="8" w:space="0" w:color="auto"/>
            </w:tcBorders>
            <w:vAlign w:val="center"/>
            <w:hideMark/>
          </w:tcPr>
          <w:p w:rsidR="006675DA" w:rsidRPr="006675DA" w:rsidRDefault="006675DA" w:rsidP="006675DA">
            <w:pPr>
              <w:autoSpaceDE/>
              <w:autoSpaceDN/>
              <w:adjustRightInd/>
              <w:spacing w:after="0" w:line="240" w:lineRule="auto"/>
              <w:jc w:val="left"/>
              <w:rPr>
                <w:rFonts w:eastAsia="Times New Roman"/>
                <w:b/>
                <w:lang w:eastAsia="fr-FR"/>
              </w:rPr>
            </w:pPr>
          </w:p>
        </w:tc>
      </w:tr>
      <w:tr w:rsidR="0005674C" w:rsidRPr="006675DA" w:rsidTr="00750033">
        <w:trPr>
          <w:trHeight w:val="677"/>
        </w:trPr>
        <w:tc>
          <w:tcPr>
            <w:tcW w:w="765" w:type="pct"/>
            <w:vMerge/>
            <w:tcBorders>
              <w:top w:val="nil"/>
              <w:left w:val="single" w:sz="8"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
                <w:lang w:eastAsia="fr-FR"/>
              </w:rPr>
            </w:pPr>
          </w:p>
        </w:tc>
        <w:tc>
          <w:tcPr>
            <w:tcW w:w="809" w:type="pct"/>
            <w:vMerge/>
            <w:tcBorders>
              <w:top w:val="nil"/>
              <w:left w:val="single" w:sz="4"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Cs w:val="0"/>
                <w:i/>
                <w:iCs/>
                <w:lang w:eastAsia="fr-FR"/>
              </w:rPr>
            </w:pPr>
          </w:p>
        </w:tc>
        <w:tc>
          <w:tcPr>
            <w:tcW w:w="739" w:type="pct"/>
            <w:vMerge/>
            <w:tcBorders>
              <w:top w:val="nil"/>
              <w:left w:val="single" w:sz="4"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Cs w:val="0"/>
                <w:lang w:eastAsia="fr-FR"/>
              </w:rPr>
            </w:pP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Hôpitaux de district (CSRéf)</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369,47</w:t>
            </w:r>
          </w:p>
        </w:tc>
        <w:tc>
          <w:tcPr>
            <w:tcW w:w="394"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Cs w:val="0"/>
                <w:lang w:eastAsia="fr-FR"/>
              </w:rPr>
            </w:pPr>
          </w:p>
        </w:tc>
        <w:tc>
          <w:tcPr>
            <w:tcW w:w="394"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Cs w:val="0"/>
                <w:i/>
                <w:iCs/>
                <w:lang w:eastAsia="fr-FR"/>
              </w:rPr>
            </w:pPr>
          </w:p>
        </w:tc>
        <w:tc>
          <w:tcPr>
            <w:tcW w:w="395"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
                <w:lang w:eastAsia="fr-FR"/>
              </w:rPr>
            </w:pPr>
          </w:p>
        </w:tc>
        <w:tc>
          <w:tcPr>
            <w:tcW w:w="390" w:type="pct"/>
            <w:vMerge/>
            <w:tcBorders>
              <w:top w:val="nil"/>
              <w:left w:val="single" w:sz="4" w:space="0" w:color="auto"/>
              <w:bottom w:val="single" w:sz="4" w:space="0" w:color="000000"/>
              <w:right w:val="single" w:sz="8" w:space="0" w:color="auto"/>
            </w:tcBorders>
            <w:vAlign w:val="center"/>
            <w:hideMark/>
          </w:tcPr>
          <w:p w:rsidR="006675DA" w:rsidRPr="006675DA" w:rsidRDefault="006675DA" w:rsidP="006675DA">
            <w:pPr>
              <w:autoSpaceDE/>
              <w:autoSpaceDN/>
              <w:adjustRightInd/>
              <w:spacing w:after="0" w:line="240" w:lineRule="auto"/>
              <w:jc w:val="left"/>
              <w:rPr>
                <w:rFonts w:eastAsia="Times New Roman"/>
                <w:b/>
                <w:lang w:eastAsia="fr-FR"/>
              </w:rPr>
            </w:pPr>
          </w:p>
        </w:tc>
      </w:tr>
      <w:tr w:rsidR="0005674C" w:rsidRPr="006675DA" w:rsidTr="00750033">
        <w:trPr>
          <w:trHeight w:val="887"/>
        </w:trPr>
        <w:tc>
          <w:tcPr>
            <w:tcW w:w="765" w:type="pct"/>
            <w:vMerge/>
            <w:tcBorders>
              <w:top w:val="nil"/>
              <w:left w:val="single" w:sz="8"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
                <w:lang w:eastAsia="fr-FR"/>
              </w:rPr>
            </w:pPr>
          </w:p>
        </w:tc>
        <w:tc>
          <w:tcPr>
            <w:tcW w:w="809" w:type="pct"/>
            <w:vMerge/>
            <w:tcBorders>
              <w:top w:val="nil"/>
              <w:left w:val="single" w:sz="4"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Cs w:val="0"/>
                <w:i/>
                <w:iCs/>
                <w:lang w:eastAsia="fr-FR"/>
              </w:rPr>
            </w:pPr>
          </w:p>
        </w:tc>
        <w:tc>
          <w:tcPr>
            <w:tcW w:w="739" w:type="pct"/>
            <w:vMerge/>
            <w:tcBorders>
              <w:top w:val="nil"/>
              <w:left w:val="single" w:sz="4"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Cs w:val="0"/>
                <w:lang w:eastAsia="fr-FR"/>
              </w:rPr>
            </w:pP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Autres Hôpitaux généraux publics</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0,39</w:t>
            </w:r>
          </w:p>
        </w:tc>
        <w:tc>
          <w:tcPr>
            <w:tcW w:w="394"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Cs w:val="0"/>
                <w:lang w:eastAsia="fr-FR"/>
              </w:rPr>
            </w:pPr>
          </w:p>
        </w:tc>
        <w:tc>
          <w:tcPr>
            <w:tcW w:w="394"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Cs w:val="0"/>
                <w:i/>
                <w:iCs/>
                <w:lang w:eastAsia="fr-FR"/>
              </w:rPr>
            </w:pPr>
          </w:p>
        </w:tc>
        <w:tc>
          <w:tcPr>
            <w:tcW w:w="395"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
                <w:lang w:eastAsia="fr-FR"/>
              </w:rPr>
            </w:pPr>
          </w:p>
        </w:tc>
        <w:tc>
          <w:tcPr>
            <w:tcW w:w="390" w:type="pct"/>
            <w:vMerge/>
            <w:tcBorders>
              <w:top w:val="nil"/>
              <w:left w:val="single" w:sz="4" w:space="0" w:color="auto"/>
              <w:bottom w:val="single" w:sz="4" w:space="0" w:color="000000"/>
              <w:right w:val="single" w:sz="8" w:space="0" w:color="auto"/>
            </w:tcBorders>
            <w:vAlign w:val="center"/>
            <w:hideMark/>
          </w:tcPr>
          <w:p w:rsidR="006675DA" w:rsidRPr="006675DA" w:rsidRDefault="006675DA" w:rsidP="006675DA">
            <w:pPr>
              <w:autoSpaceDE/>
              <w:autoSpaceDN/>
              <w:adjustRightInd/>
              <w:spacing w:after="0" w:line="240" w:lineRule="auto"/>
              <w:jc w:val="left"/>
              <w:rPr>
                <w:rFonts w:eastAsia="Times New Roman"/>
                <w:b/>
                <w:lang w:eastAsia="fr-FR"/>
              </w:rPr>
            </w:pPr>
          </w:p>
        </w:tc>
      </w:tr>
      <w:tr w:rsidR="0005674C" w:rsidRPr="006675DA" w:rsidTr="00750033">
        <w:trPr>
          <w:trHeight w:val="1001"/>
        </w:trPr>
        <w:tc>
          <w:tcPr>
            <w:tcW w:w="765" w:type="pct"/>
            <w:vMerge/>
            <w:tcBorders>
              <w:top w:val="nil"/>
              <w:left w:val="single" w:sz="8"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
                <w:lang w:eastAsia="fr-FR"/>
              </w:rPr>
            </w:pPr>
          </w:p>
        </w:tc>
        <w:tc>
          <w:tcPr>
            <w:tcW w:w="809" w:type="pct"/>
            <w:vMerge/>
            <w:tcBorders>
              <w:top w:val="nil"/>
              <w:left w:val="single" w:sz="4" w:space="0" w:color="auto"/>
              <w:bottom w:val="single" w:sz="4" w:space="0" w:color="auto"/>
              <w:right w:val="single" w:sz="4" w:space="0" w:color="auto"/>
            </w:tcBorders>
            <w:vAlign w:val="center"/>
            <w:hideMark/>
          </w:tcPr>
          <w:p w:rsidR="006675DA" w:rsidRPr="006675DA" w:rsidRDefault="006675DA">
            <w:pPr>
              <w:autoSpaceDE/>
              <w:autoSpaceDN/>
              <w:adjustRightInd/>
              <w:spacing w:after="0" w:line="240" w:lineRule="auto"/>
              <w:jc w:val="left"/>
              <w:rPr>
                <w:rFonts w:eastAsia="Times New Roman"/>
                <w:bCs w:val="0"/>
                <w:i/>
                <w:iCs/>
                <w:lang w:eastAsia="fr-FR"/>
              </w:rPr>
            </w:pPr>
          </w:p>
        </w:tc>
        <w:tc>
          <w:tcPr>
            <w:tcW w:w="73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Hôpitaux généraux privés</w:t>
            </w: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Autres Hôpitaux généraux privés</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0,04</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0,04</w:t>
            </w:r>
          </w:p>
        </w:tc>
        <w:tc>
          <w:tcPr>
            <w:tcW w:w="394"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Cs w:val="0"/>
                <w:i/>
                <w:iCs/>
                <w:lang w:eastAsia="fr-FR"/>
              </w:rPr>
            </w:pPr>
          </w:p>
        </w:tc>
        <w:tc>
          <w:tcPr>
            <w:tcW w:w="395" w:type="pct"/>
            <w:vMerge/>
            <w:tcBorders>
              <w:top w:val="nil"/>
              <w:left w:val="single" w:sz="4" w:space="0" w:color="auto"/>
              <w:bottom w:val="single" w:sz="4" w:space="0" w:color="auto"/>
              <w:right w:val="single" w:sz="4" w:space="0" w:color="auto"/>
            </w:tcBorders>
            <w:vAlign w:val="center"/>
            <w:hideMark/>
          </w:tcPr>
          <w:p w:rsidR="006675DA" w:rsidRPr="006675DA" w:rsidRDefault="006675DA" w:rsidP="006675DA">
            <w:pPr>
              <w:autoSpaceDE/>
              <w:autoSpaceDN/>
              <w:adjustRightInd/>
              <w:spacing w:after="0" w:line="240" w:lineRule="auto"/>
              <w:jc w:val="left"/>
              <w:rPr>
                <w:rFonts w:eastAsia="Times New Roman"/>
                <w:b/>
                <w:lang w:eastAsia="fr-FR"/>
              </w:rPr>
            </w:pPr>
          </w:p>
        </w:tc>
        <w:tc>
          <w:tcPr>
            <w:tcW w:w="390" w:type="pct"/>
            <w:vMerge/>
            <w:tcBorders>
              <w:top w:val="nil"/>
              <w:left w:val="single" w:sz="4" w:space="0" w:color="auto"/>
              <w:bottom w:val="single" w:sz="4" w:space="0" w:color="000000"/>
              <w:right w:val="single" w:sz="8" w:space="0" w:color="auto"/>
            </w:tcBorders>
            <w:vAlign w:val="center"/>
            <w:hideMark/>
          </w:tcPr>
          <w:p w:rsidR="006675DA" w:rsidRPr="006675DA" w:rsidRDefault="006675DA" w:rsidP="006675DA">
            <w:pPr>
              <w:autoSpaceDE/>
              <w:autoSpaceDN/>
              <w:adjustRightInd/>
              <w:spacing w:after="0" w:line="240" w:lineRule="auto"/>
              <w:jc w:val="left"/>
              <w:rPr>
                <w:rFonts w:eastAsia="Times New Roman"/>
                <w:b/>
                <w:lang w:eastAsia="fr-FR"/>
              </w:rPr>
            </w:pPr>
          </w:p>
        </w:tc>
      </w:tr>
      <w:tr w:rsidR="006675DA" w:rsidRPr="006675DA" w:rsidTr="00750033">
        <w:trPr>
          <w:trHeight w:val="1115"/>
        </w:trPr>
        <w:tc>
          <w:tcPr>
            <w:tcW w:w="765" w:type="pct"/>
            <w:tcBorders>
              <w:top w:val="nil"/>
              <w:left w:val="single" w:sz="8" w:space="0" w:color="auto"/>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Prestataires de soins de santé ambulatoire</w:t>
            </w:r>
          </w:p>
        </w:tc>
        <w:tc>
          <w:tcPr>
            <w:tcW w:w="809" w:type="pct"/>
            <w:tcBorders>
              <w:top w:val="nil"/>
              <w:left w:val="nil"/>
              <w:bottom w:val="single" w:sz="4" w:space="0" w:color="auto"/>
              <w:right w:val="single" w:sz="4" w:space="0" w:color="auto"/>
            </w:tcBorders>
            <w:shd w:val="clear" w:color="auto" w:fill="auto"/>
            <w:vAlign w:val="center"/>
            <w:hideMark/>
          </w:tcPr>
          <w:p w:rsidR="006675DA" w:rsidRPr="006675DA" w:rsidRDefault="006675DA" w:rsidP="00947090">
            <w:pPr>
              <w:autoSpaceDE/>
              <w:autoSpaceDN/>
              <w:adjustRightInd/>
              <w:spacing w:after="0" w:line="240" w:lineRule="auto"/>
              <w:jc w:val="left"/>
              <w:rPr>
                <w:rFonts w:eastAsia="Times New Roman"/>
                <w:bCs w:val="0"/>
                <w:i/>
                <w:iCs/>
                <w:lang w:eastAsia="fr-FR"/>
              </w:rPr>
            </w:pPr>
            <w:r w:rsidRPr="006675DA">
              <w:rPr>
                <w:rFonts w:eastAsia="Times New Roman"/>
                <w:bCs w:val="0"/>
                <w:i/>
                <w:iCs/>
                <w:sz w:val="22"/>
                <w:szCs w:val="22"/>
                <w:lang w:eastAsia="fr-FR"/>
              </w:rPr>
              <w:t>Centres de soins ambulatoires</w:t>
            </w:r>
          </w:p>
        </w:tc>
        <w:tc>
          <w:tcPr>
            <w:tcW w:w="73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Centres de soins ambulatoires nonspécialisés</w:t>
            </w: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Centres de santé (CS)</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263,11</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263,11</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i/>
                <w:iCs/>
                <w:lang w:eastAsia="fr-FR"/>
              </w:rPr>
            </w:pPr>
            <w:r w:rsidRPr="006675DA">
              <w:rPr>
                <w:rFonts w:eastAsia="Times New Roman"/>
                <w:bCs w:val="0"/>
                <w:i/>
                <w:iCs/>
                <w:sz w:val="22"/>
                <w:szCs w:val="22"/>
                <w:lang w:eastAsia="fr-FR"/>
              </w:rPr>
              <w:t>263,11</w:t>
            </w:r>
          </w:p>
        </w:tc>
        <w:tc>
          <w:tcPr>
            <w:tcW w:w="395"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263,11</w:t>
            </w:r>
          </w:p>
        </w:tc>
        <w:tc>
          <w:tcPr>
            <w:tcW w:w="390" w:type="pct"/>
            <w:tcBorders>
              <w:top w:val="nil"/>
              <w:left w:val="nil"/>
              <w:bottom w:val="single" w:sz="4" w:space="0" w:color="auto"/>
              <w:right w:val="single" w:sz="8"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33,83</w:t>
            </w:r>
          </w:p>
        </w:tc>
      </w:tr>
      <w:tr w:rsidR="006675DA" w:rsidRPr="006675DA" w:rsidTr="00750033">
        <w:trPr>
          <w:trHeight w:val="693"/>
        </w:trPr>
        <w:tc>
          <w:tcPr>
            <w:tcW w:w="765" w:type="pct"/>
            <w:tcBorders>
              <w:top w:val="nil"/>
              <w:left w:val="single" w:sz="8" w:space="0" w:color="auto"/>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Prestataires de services auxiliaires</w:t>
            </w:r>
          </w:p>
        </w:tc>
        <w:tc>
          <w:tcPr>
            <w:tcW w:w="80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i/>
                <w:iCs/>
                <w:lang w:eastAsia="fr-FR"/>
              </w:rPr>
            </w:pPr>
            <w:r w:rsidRPr="006675DA">
              <w:rPr>
                <w:rFonts w:eastAsia="Times New Roman"/>
                <w:bCs w:val="0"/>
                <w:i/>
                <w:iCs/>
                <w:sz w:val="22"/>
                <w:szCs w:val="22"/>
                <w:lang w:eastAsia="fr-FR"/>
              </w:rPr>
              <w:t>Laboratoires Médicaux et de diagnostique</w:t>
            </w:r>
          </w:p>
        </w:tc>
        <w:tc>
          <w:tcPr>
            <w:tcW w:w="73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Laboratoire public</w:t>
            </w: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1,79</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i/>
                <w:iCs/>
                <w:lang w:eastAsia="fr-FR"/>
              </w:rPr>
            </w:pPr>
            <w:r w:rsidRPr="006675DA">
              <w:rPr>
                <w:rFonts w:eastAsia="Times New Roman"/>
                <w:bCs w:val="0"/>
                <w:i/>
                <w:iCs/>
                <w:sz w:val="22"/>
                <w:szCs w:val="22"/>
                <w:lang w:eastAsia="fr-FR"/>
              </w:rPr>
              <w:t>1,79</w:t>
            </w:r>
          </w:p>
        </w:tc>
        <w:tc>
          <w:tcPr>
            <w:tcW w:w="395"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1,79</w:t>
            </w:r>
          </w:p>
        </w:tc>
        <w:tc>
          <w:tcPr>
            <w:tcW w:w="390" w:type="pct"/>
            <w:tcBorders>
              <w:top w:val="nil"/>
              <w:left w:val="nil"/>
              <w:bottom w:val="single" w:sz="4" w:space="0" w:color="auto"/>
              <w:right w:val="single" w:sz="8"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0,23</w:t>
            </w:r>
          </w:p>
        </w:tc>
      </w:tr>
      <w:tr w:rsidR="006675DA" w:rsidRPr="006675DA" w:rsidTr="00750033">
        <w:trPr>
          <w:trHeight w:val="570"/>
        </w:trPr>
        <w:tc>
          <w:tcPr>
            <w:tcW w:w="765" w:type="pct"/>
            <w:tcBorders>
              <w:top w:val="nil"/>
              <w:left w:val="single" w:sz="8" w:space="0" w:color="auto"/>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Prestataires de soins préventifs</w:t>
            </w:r>
          </w:p>
        </w:tc>
        <w:tc>
          <w:tcPr>
            <w:tcW w:w="80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i/>
                <w:iCs/>
                <w:lang w:eastAsia="fr-FR"/>
              </w:rPr>
            </w:pPr>
            <w:r w:rsidRPr="006675DA">
              <w:rPr>
                <w:rFonts w:eastAsia="Times New Roman"/>
                <w:b/>
                <w:i/>
                <w:iCs/>
                <w:sz w:val="22"/>
                <w:szCs w:val="22"/>
                <w:lang w:eastAsia="fr-FR"/>
              </w:rPr>
              <w:t> </w:t>
            </w:r>
          </w:p>
        </w:tc>
        <w:tc>
          <w:tcPr>
            <w:tcW w:w="73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 </w:t>
            </w: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i/>
                <w:iCs/>
                <w:lang w:eastAsia="fr-FR"/>
              </w:rPr>
            </w:pPr>
            <w:r w:rsidRPr="006675DA">
              <w:rPr>
                <w:rFonts w:eastAsia="Times New Roman"/>
                <w:bCs w:val="0"/>
                <w:i/>
                <w:iCs/>
                <w:sz w:val="22"/>
                <w:szCs w:val="22"/>
                <w:lang w:eastAsia="fr-FR"/>
              </w:rPr>
              <w:t> </w:t>
            </w:r>
          </w:p>
        </w:tc>
        <w:tc>
          <w:tcPr>
            <w:tcW w:w="395"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3,03</w:t>
            </w:r>
          </w:p>
        </w:tc>
        <w:tc>
          <w:tcPr>
            <w:tcW w:w="390" w:type="pct"/>
            <w:tcBorders>
              <w:top w:val="nil"/>
              <w:left w:val="nil"/>
              <w:bottom w:val="single" w:sz="4" w:space="0" w:color="auto"/>
              <w:right w:val="single" w:sz="8"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0,39</w:t>
            </w:r>
          </w:p>
        </w:tc>
      </w:tr>
      <w:tr w:rsidR="006675DA" w:rsidRPr="006675DA" w:rsidTr="00750033">
        <w:trPr>
          <w:trHeight w:val="1710"/>
        </w:trPr>
        <w:tc>
          <w:tcPr>
            <w:tcW w:w="765" w:type="pct"/>
            <w:tcBorders>
              <w:top w:val="nil"/>
              <w:left w:val="single" w:sz="8" w:space="0" w:color="auto"/>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Prestataires de services administratifs et de financement du système de soins de santé</w:t>
            </w:r>
          </w:p>
        </w:tc>
        <w:tc>
          <w:tcPr>
            <w:tcW w:w="80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Cs w:val="0"/>
                <w:i/>
                <w:iCs/>
                <w:lang w:eastAsia="fr-FR"/>
              </w:rPr>
            </w:pPr>
            <w:r w:rsidRPr="006675DA">
              <w:rPr>
                <w:rFonts w:eastAsia="Times New Roman"/>
                <w:bCs w:val="0"/>
                <w:i/>
                <w:iCs/>
                <w:sz w:val="22"/>
                <w:szCs w:val="22"/>
                <w:lang w:eastAsia="fr-FR"/>
              </w:rPr>
              <w:t>Agences étatiques de l'administration de la santé</w:t>
            </w:r>
          </w:p>
        </w:tc>
        <w:tc>
          <w:tcPr>
            <w:tcW w:w="73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 </w:t>
            </w: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i/>
                <w:iCs/>
                <w:lang w:eastAsia="fr-FR"/>
              </w:rPr>
            </w:pPr>
            <w:r w:rsidRPr="006675DA">
              <w:rPr>
                <w:rFonts w:eastAsia="Times New Roman"/>
                <w:bCs w:val="0"/>
                <w:i/>
                <w:iCs/>
                <w:sz w:val="22"/>
                <w:szCs w:val="22"/>
                <w:lang w:eastAsia="fr-FR"/>
              </w:rPr>
              <w:t>94,59</w:t>
            </w:r>
          </w:p>
        </w:tc>
        <w:tc>
          <w:tcPr>
            <w:tcW w:w="395"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94,59</w:t>
            </w:r>
          </w:p>
        </w:tc>
        <w:tc>
          <w:tcPr>
            <w:tcW w:w="390" w:type="pct"/>
            <w:tcBorders>
              <w:top w:val="nil"/>
              <w:left w:val="nil"/>
              <w:bottom w:val="single" w:sz="4" w:space="0" w:color="auto"/>
              <w:right w:val="single" w:sz="8"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12,16</w:t>
            </w:r>
          </w:p>
        </w:tc>
      </w:tr>
      <w:tr w:rsidR="006675DA" w:rsidRPr="006675DA" w:rsidTr="00750033">
        <w:trPr>
          <w:trHeight w:val="300"/>
        </w:trPr>
        <w:tc>
          <w:tcPr>
            <w:tcW w:w="765" w:type="pct"/>
            <w:tcBorders>
              <w:top w:val="nil"/>
              <w:left w:val="single" w:sz="8" w:space="0" w:color="auto"/>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Reste du monde</w:t>
            </w:r>
          </w:p>
        </w:tc>
        <w:tc>
          <w:tcPr>
            <w:tcW w:w="80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i/>
                <w:iCs/>
                <w:lang w:eastAsia="fr-FR"/>
              </w:rPr>
            </w:pPr>
            <w:r w:rsidRPr="006675DA">
              <w:rPr>
                <w:rFonts w:eastAsia="Times New Roman"/>
                <w:b/>
                <w:i/>
                <w:iCs/>
                <w:sz w:val="22"/>
                <w:szCs w:val="22"/>
                <w:lang w:eastAsia="fr-FR"/>
              </w:rPr>
              <w:t> </w:t>
            </w:r>
          </w:p>
        </w:tc>
        <w:tc>
          <w:tcPr>
            <w:tcW w:w="73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 </w:t>
            </w: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i/>
                <w:iCs/>
                <w:lang w:eastAsia="fr-FR"/>
              </w:rPr>
            </w:pPr>
            <w:r w:rsidRPr="006675DA">
              <w:rPr>
                <w:rFonts w:eastAsia="Times New Roman"/>
                <w:bCs w:val="0"/>
                <w:i/>
                <w:iCs/>
                <w:sz w:val="22"/>
                <w:szCs w:val="22"/>
                <w:lang w:eastAsia="fr-FR"/>
              </w:rPr>
              <w:t> </w:t>
            </w:r>
          </w:p>
        </w:tc>
        <w:tc>
          <w:tcPr>
            <w:tcW w:w="395"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2,29</w:t>
            </w:r>
          </w:p>
        </w:tc>
        <w:tc>
          <w:tcPr>
            <w:tcW w:w="390" w:type="pct"/>
            <w:tcBorders>
              <w:top w:val="nil"/>
              <w:left w:val="nil"/>
              <w:bottom w:val="single" w:sz="4" w:space="0" w:color="auto"/>
              <w:right w:val="single" w:sz="8"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0,29</w:t>
            </w:r>
          </w:p>
        </w:tc>
      </w:tr>
      <w:tr w:rsidR="006675DA" w:rsidRPr="006675DA" w:rsidTr="00750033">
        <w:trPr>
          <w:trHeight w:val="1140"/>
        </w:trPr>
        <w:tc>
          <w:tcPr>
            <w:tcW w:w="765" w:type="pct"/>
            <w:tcBorders>
              <w:top w:val="nil"/>
              <w:left w:val="single" w:sz="8" w:space="0" w:color="auto"/>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Prestataires de soins de santé non spécifiés (n.c.a.)</w:t>
            </w:r>
          </w:p>
        </w:tc>
        <w:tc>
          <w:tcPr>
            <w:tcW w:w="80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i/>
                <w:iCs/>
                <w:lang w:eastAsia="fr-FR"/>
              </w:rPr>
            </w:pPr>
            <w:r w:rsidRPr="006675DA">
              <w:rPr>
                <w:rFonts w:eastAsia="Times New Roman"/>
                <w:b/>
                <w:i/>
                <w:iCs/>
                <w:sz w:val="22"/>
                <w:szCs w:val="22"/>
                <w:lang w:eastAsia="fr-FR"/>
              </w:rPr>
              <w:t> </w:t>
            </w:r>
          </w:p>
        </w:tc>
        <w:tc>
          <w:tcPr>
            <w:tcW w:w="739"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 </w:t>
            </w:r>
          </w:p>
        </w:tc>
        <w:tc>
          <w:tcPr>
            <w:tcW w:w="720" w:type="pct"/>
            <w:tcBorders>
              <w:top w:val="nil"/>
              <w:left w:val="nil"/>
              <w:bottom w:val="single" w:sz="4" w:space="0" w:color="auto"/>
              <w:right w:val="single" w:sz="4" w:space="0" w:color="auto"/>
            </w:tcBorders>
            <w:shd w:val="clear" w:color="auto" w:fill="auto"/>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i/>
                <w:iCs/>
                <w:lang w:eastAsia="fr-FR"/>
              </w:rPr>
            </w:pPr>
            <w:r w:rsidRPr="006675DA">
              <w:rPr>
                <w:rFonts w:eastAsia="Times New Roman"/>
                <w:bCs w:val="0"/>
                <w:i/>
                <w:iCs/>
                <w:sz w:val="22"/>
                <w:szCs w:val="22"/>
                <w:lang w:eastAsia="fr-FR"/>
              </w:rPr>
              <w:t> </w:t>
            </w:r>
          </w:p>
        </w:tc>
        <w:tc>
          <w:tcPr>
            <w:tcW w:w="395" w:type="pct"/>
            <w:tcBorders>
              <w:top w:val="nil"/>
              <w:left w:val="nil"/>
              <w:bottom w:val="single" w:sz="4"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19,69</w:t>
            </w:r>
          </w:p>
        </w:tc>
        <w:tc>
          <w:tcPr>
            <w:tcW w:w="390" w:type="pct"/>
            <w:tcBorders>
              <w:top w:val="nil"/>
              <w:left w:val="nil"/>
              <w:bottom w:val="single" w:sz="4" w:space="0" w:color="auto"/>
              <w:right w:val="single" w:sz="8"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2,53</w:t>
            </w:r>
          </w:p>
        </w:tc>
      </w:tr>
      <w:tr w:rsidR="0005674C" w:rsidRPr="006675DA" w:rsidTr="00750033">
        <w:trPr>
          <w:trHeight w:val="315"/>
        </w:trPr>
        <w:tc>
          <w:tcPr>
            <w:tcW w:w="765" w:type="pct"/>
            <w:tcBorders>
              <w:top w:val="nil"/>
              <w:left w:val="single" w:sz="8" w:space="0" w:color="auto"/>
              <w:bottom w:val="single" w:sz="8" w:space="0" w:color="auto"/>
              <w:right w:val="single" w:sz="4" w:space="0" w:color="auto"/>
            </w:tcBorders>
            <w:shd w:val="clear" w:color="auto" w:fill="auto"/>
            <w:noWrap/>
            <w:vAlign w:val="center"/>
            <w:hideMark/>
          </w:tcPr>
          <w:p w:rsidR="006675DA" w:rsidRPr="006675DA" w:rsidRDefault="006675DA">
            <w:pPr>
              <w:autoSpaceDE/>
              <w:autoSpaceDN/>
              <w:adjustRightInd/>
              <w:spacing w:after="0" w:line="240" w:lineRule="auto"/>
              <w:jc w:val="left"/>
              <w:rPr>
                <w:rFonts w:eastAsia="Times New Roman"/>
                <w:b/>
                <w:lang w:eastAsia="fr-FR"/>
              </w:rPr>
            </w:pPr>
            <w:r w:rsidRPr="006675DA">
              <w:rPr>
                <w:rFonts w:eastAsia="Times New Roman"/>
                <w:b/>
                <w:sz w:val="22"/>
                <w:szCs w:val="22"/>
                <w:lang w:eastAsia="fr-FR"/>
              </w:rPr>
              <w:t>Total</w:t>
            </w:r>
          </w:p>
        </w:tc>
        <w:tc>
          <w:tcPr>
            <w:tcW w:w="809" w:type="pct"/>
            <w:tcBorders>
              <w:top w:val="nil"/>
              <w:left w:val="nil"/>
              <w:bottom w:val="single" w:sz="8" w:space="0" w:color="auto"/>
              <w:right w:val="single" w:sz="4" w:space="0" w:color="auto"/>
            </w:tcBorders>
            <w:shd w:val="clear" w:color="auto" w:fill="auto"/>
            <w:noWrap/>
            <w:vAlign w:val="center"/>
            <w:hideMark/>
          </w:tcPr>
          <w:p w:rsidR="006675DA" w:rsidRPr="006675DA" w:rsidRDefault="006675DA">
            <w:pPr>
              <w:autoSpaceDE/>
              <w:autoSpaceDN/>
              <w:adjustRightInd/>
              <w:spacing w:after="0" w:line="240" w:lineRule="auto"/>
              <w:jc w:val="left"/>
              <w:rPr>
                <w:rFonts w:eastAsia="Times New Roman"/>
                <w:bCs w:val="0"/>
                <w:i/>
                <w:iCs/>
                <w:lang w:eastAsia="fr-FR"/>
              </w:rPr>
            </w:pPr>
            <w:r w:rsidRPr="006675DA">
              <w:rPr>
                <w:rFonts w:eastAsia="Times New Roman"/>
                <w:bCs w:val="0"/>
                <w:i/>
                <w:iCs/>
                <w:sz w:val="22"/>
                <w:szCs w:val="22"/>
                <w:lang w:eastAsia="fr-FR"/>
              </w:rPr>
              <w:t> </w:t>
            </w:r>
          </w:p>
        </w:tc>
        <w:tc>
          <w:tcPr>
            <w:tcW w:w="739" w:type="pct"/>
            <w:tcBorders>
              <w:top w:val="nil"/>
              <w:left w:val="nil"/>
              <w:bottom w:val="single" w:sz="8" w:space="0" w:color="auto"/>
              <w:right w:val="single" w:sz="4" w:space="0" w:color="auto"/>
            </w:tcBorders>
            <w:shd w:val="clear" w:color="auto" w:fill="auto"/>
            <w:noWrap/>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 </w:t>
            </w:r>
          </w:p>
        </w:tc>
        <w:tc>
          <w:tcPr>
            <w:tcW w:w="720" w:type="pct"/>
            <w:tcBorders>
              <w:top w:val="nil"/>
              <w:left w:val="nil"/>
              <w:bottom w:val="single" w:sz="8" w:space="0" w:color="auto"/>
              <w:right w:val="single" w:sz="4" w:space="0" w:color="auto"/>
            </w:tcBorders>
            <w:shd w:val="clear" w:color="auto" w:fill="auto"/>
            <w:noWrap/>
            <w:vAlign w:val="center"/>
            <w:hideMark/>
          </w:tcPr>
          <w:p w:rsidR="006675DA" w:rsidRPr="006675DA" w:rsidRDefault="006675DA">
            <w:pPr>
              <w:autoSpaceDE/>
              <w:autoSpaceDN/>
              <w:adjustRightInd/>
              <w:spacing w:after="0" w:line="240" w:lineRule="auto"/>
              <w:jc w:val="left"/>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8"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8"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lang w:eastAsia="fr-FR"/>
              </w:rPr>
            </w:pPr>
            <w:r w:rsidRPr="006675DA">
              <w:rPr>
                <w:rFonts w:eastAsia="Times New Roman"/>
                <w:bCs w:val="0"/>
                <w:sz w:val="22"/>
                <w:szCs w:val="22"/>
                <w:lang w:eastAsia="fr-FR"/>
              </w:rPr>
              <w:t> </w:t>
            </w:r>
          </w:p>
        </w:tc>
        <w:tc>
          <w:tcPr>
            <w:tcW w:w="394" w:type="pct"/>
            <w:tcBorders>
              <w:top w:val="nil"/>
              <w:left w:val="nil"/>
              <w:bottom w:val="single" w:sz="8"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Cs w:val="0"/>
                <w:i/>
                <w:iCs/>
                <w:lang w:eastAsia="fr-FR"/>
              </w:rPr>
            </w:pPr>
            <w:r w:rsidRPr="006675DA">
              <w:rPr>
                <w:rFonts w:eastAsia="Times New Roman"/>
                <w:bCs w:val="0"/>
                <w:i/>
                <w:iCs/>
                <w:sz w:val="22"/>
                <w:szCs w:val="22"/>
                <w:lang w:eastAsia="fr-FR"/>
              </w:rPr>
              <w:t> </w:t>
            </w:r>
          </w:p>
        </w:tc>
        <w:tc>
          <w:tcPr>
            <w:tcW w:w="395" w:type="pct"/>
            <w:tcBorders>
              <w:top w:val="nil"/>
              <w:left w:val="nil"/>
              <w:bottom w:val="single" w:sz="8" w:space="0" w:color="auto"/>
              <w:right w:val="single" w:sz="4"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777,75</w:t>
            </w:r>
          </w:p>
        </w:tc>
        <w:tc>
          <w:tcPr>
            <w:tcW w:w="390" w:type="pct"/>
            <w:tcBorders>
              <w:top w:val="nil"/>
              <w:left w:val="nil"/>
              <w:bottom w:val="single" w:sz="8" w:space="0" w:color="auto"/>
              <w:right w:val="single" w:sz="8" w:space="0" w:color="auto"/>
            </w:tcBorders>
            <w:shd w:val="clear" w:color="auto" w:fill="auto"/>
            <w:noWrap/>
            <w:vAlign w:val="center"/>
            <w:hideMark/>
          </w:tcPr>
          <w:p w:rsidR="006675DA" w:rsidRPr="006675DA" w:rsidRDefault="006675DA" w:rsidP="006675DA">
            <w:pPr>
              <w:autoSpaceDE/>
              <w:autoSpaceDN/>
              <w:adjustRightInd/>
              <w:spacing w:after="0" w:line="240" w:lineRule="auto"/>
              <w:jc w:val="center"/>
              <w:rPr>
                <w:rFonts w:eastAsia="Times New Roman"/>
                <w:b/>
                <w:lang w:eastAsia="fr-FR"/>
              </w:rPr>
            </w:pPr>
            <w:r w:rsidRPr="006675DA">
              <w:rPr>
                <w:rFonts w:eastAsia="Times New Roman"/>
                <w:b/>
                <w:sz w:val="22"/>
                <w:szCs w:val="22"/>
                <w:lang w:eastAsia="fr-FR"/>
              </w:rPr>
              <w:t>100,00</w:t>
            </w:r>
          </w:p>
        </w:tc>
      </w:tr>
    </w:tbl>
    <w:p w:rsidR="00006B9D" w:rsidRDefault="00006B9D" w:rsidP="00587784">
      <w:pPr>
        <w:spacing w:line="312" w:lineRule="auto"/>
        <w:rPr>
          <w:lang w:eastAsia="fr-FR"/>
        </w:rPr>
      </w:pPr>
    </w:p>
    <w:p w:rsidR="00707ADF" w:rsidRDefault="00006B9D" w:rsidP="00587784">
      <w:pPr>
        <w:spacing w:line="312" w:lineRule="auto"/>
      </w:pPr>
      <w:r w:rsidRPr="0044670F">
        <w:t>C</w:t>
      </w:r>
      <w:r>
        <w:t>omme l</w:t>
      </w:r>
      <w:r w:rsidRPr="0044670F">
        <w:t xml:space="preserve">e montre le tableau ci-dessus, les hôpitaux  occupent la première place avec </w:t>
      </w:r>
      <w:r>
        <w:t>50,56</w:t>
      </w:r>
      <w:r w:rsidRPr="0044670F">
        <w:t>% des dépenses courantes de la tuberculose. Cette proportion revient surtout aux CSRef qui sont assimilés aux hôpitaux dans la classification des comptes de la santé.</w:t>
      </w:r>
      <w:r w:rsidR="00B32172">
        <w:t xml:space="preserve"> </w:t>
      </w:r>
      <w:r w:rsidR="00FC18E0">
        <w:t xml:space="preserve">Après les </w:t>
      </w:r>
      <w:r w:rsidR="000045E6">
        <w:t>hôpitaux</w:t>
      </w:r>
      <w:r w:rsidR="00387D95">
        <w:t>, l</w:t>
      </w:r>
      <w:r w:rsidR="00387D95" w:rsidRPr="0044670F">
        <w:t>es prestataires de soins ambulatoires ont participé à la lutte contre la tuberculose</w:t>
      </w:r>
      <w:r w:rsidR="00387D95">
        <w:t xml:space="preserve"> à concurrence de 33,83%.</w:t>
      </w:r>
      <w:r w:rsidR="00FC18E0">
        <w:t xml:space="preserve"> Ensuite,</w:t>
      </w:r>
      <w:r w:rsidR="00B32172">
        <w:t xml:space="preserve"> </w:t>
      </w:r>
      <w:r w:rsidR="00FC18E0">
        <w:t>l</w:t>
      </w:r>
      <w:r w:rsidR="00387D95" w:rsidRPr="0044670F">
        <w:t xml:space="preserve">es prestataires de services administratifs et de financement du système de soins de santé ont utilisé </w:t>
      </w:r>
      <w:r w:rsidR="00387D95">
        <w:t>12,16</w:t>
      </w:r>
      <w:r w:rsidR="00387D95" w:rsidRPr="0044670F">
        <w:t xml:space="preserve">% des dépenses. </w:t>
      </w:r>
      <w:r w:rsidR="00FC18E0">
        <w:t>Enfin, l</w:t>
      </w:r>
      <w:r w:rsidRPr="0044670F">
        <w:t xml:space="preserve">es prestataires de soins préventifs participent à la lutte contre la tuberculose pour </w:t>
      </w:r>
      <w:r>
        <w:t>0,39</w:t>
      </w:r>
      <w:r w:rsidRPr="0044670F">
        <w:t xml:space="preserve">% des dépenses.  </w:t>
      </w:r>
    </w:p>
    <w:p w:rsidR="00A620DF" w:rsidRDefault="00A620DF" w:rsidP="00587784">
      <w:pPr>
        <w:spacing w:line="312" w:lineRule="auto"/>
      </w:pPr>
    </w:p>
    <w:p w:rsidR="00A620DF" w:rsidRDefault="00A620DF" w:rsidP="00587784">
      <w:pPr>
        <w:spacing w:line="312" w:lineRule="auto"/>
      </w:pPr>
    </w:p>
    <w:p w:rsidR="00A620DF" w:rsidRDefault="00A620DF" w:rsidP="00587784">
      <w:pPr>
        <w:spacing w:line="312" w:lineRule="auto"/>
      </w:pPr>
    </w:p>
    <w:p w:rsidR="00A620DF" w:rsidRDefault="00A620DF" w:rsidP="00587784">
      <w:pPr>
        <w:spacing w:line="312" w:lineRule="auto"/>
      </w:pPr>
    </w:p>
    <w:p w:rsidR="00707ADF" w:rsidRPr="0044670F" w:rsidRDefault="00707ADF" w:rsidP="00947090">
      <w:pPr>
        <w:pStyle w:val="Titre3"/>
        <w:numPr>
          <w:ilvl w:val="2"/>
          <w:numId w:val="34"/>
        </w:numPr>
        <w:rPr>
          <w:lang w:eastAsia="fr-FR"/>
        </w:rPr>
      </w:pPr>
      <w:r w:rsidRPr="0044670F">
        <w:rPr>
          <w:lang w:eastAsia="fr-FR"/>
        </w:rPr>
        <w:t>Répartition des dépenses de la tuberculose par fonction</w:t>
      </w:r>
    </w:p>
    <w:p w:rsidR="00707ADF" w:rsidRDefault="00707ADF" w:rsidP="00707ADF">
      <w:pPr>
        <w:spacing w:line="312" w:lineRule="auto"/>
      </w:pPr>
      <w:r w:rsidRPr="0044670F">
        <w:t>Le tableau suivant récapitule les dépenses de la lutte contre la tub</w:t>
      </w:r>
      <w:r>
        <w:t>erculose par fonction de santé.</w:t>
      </w:r>
    </w:p>
    <w:p w:rsidR="00707ADF" w:rsidRDefault="00707ADF" w:rsidP="00707ADF">
      <w:pPr>
        <w:pStyle w:val="Lgende"/>
        <w:rPr>
          <w:color w:val="000000" w:themeColor="text1"/>
          <w:sz w:val="22"/>
          <w:szCs w:val="22"/>
        </w:rPr>
      </w:pPr>
      <w:bookmarkStart w:id="75" w:name="_Toc483991279"/>
      <w:r w:rsidRPr="00BA4FCD">
        <w:rPr>
          <w:color w:val="000000" w:themeColor="text1"/>
          <w:sz w:val="22"/>
          <w:szCs w:val="22"/>
        </w:rPr>
        <w:t xml:space="preserve">Tableau </w:t>
      </w:r>
      <w:r w:rsidR="00E72F8E">
        <w:rPr>
          <w:color w:val="000000" w:themeColor="text1"/>
          <w:sz w:val="22"/>
          <w:szCs w:val="22"/>
        </w:rPr>
        <w:fldChar w:fldCharType="begin"/>
      </w:r>
      <w:r>
        <w:rPr>
          <w:color w:val="000000" w:themeColor="text1"/>
          <w:sz w:val="22"/>
          <w:szCs w:val="22"/>
        </w:rPr>
        <w:instrText xml:space="preserve"> STYLEREF 2 \s </w:instrText>
      </w:r>
      <w:r w:rsidR="00E72F8E">
        <w:rPr>
          <w:color w:val="000000" w:themeColor="text1"/>
          <w:sz w:val="22"/>
          <w:szCs w:val="22"/>
        </w:rPr>
        <w:fldChar w:fldCharType="separate"/>
      </w:r>
      <w:r>
        <w:rPr>
          <w:noProof/>
          <w:color w:val="000000" w:themeColor="text1"/>
          <w:sz w:val="22"/>
          <w:szCs w:val="22"/>
        </w:rPr>
        <w:t>5.2</w:t>
      </w:r>
      <w:r w:rsidR="00E72F8E">
        <w:rPr>
          <w:color w:val="000000" w:themeColor="text1"/>
          <w:sz w:val="22"/>
          <w:szCs w:val="22"/>
        </w:rPr>
        <w:fldChar w:fldCharType="end"/>
      </w:r>
      <w:r>
        <w:rPr>
          <w:color w:val="000000" w:themeColor="text1"/>
          <w:sz w:val="22"/>
          <w:szCs w:val="22"/>
        </w:rPr>
        <w:t>.</w:t>
      </w:r>
      <w:r w:rsidR="00E72F8E">
        <w:rPr>
          <w:color w:val="000000" w:themeColor="text1"/>
          <w:sz w:val="22"/>
          <w:szCs w:val="22"/>
        </w:rPr>
        <w:fldChar w:fldCharType="begin"/>
      </w:r>
      <w:r>
        <w:rPr>
          <w:color w:val="000000" w:themeColor="text1"/>
          <w:sz w:val="22"/>
          <w:szCs w:val="22"/>
        </w:rPr>
        <w:instrText xml:space="preserve"> SEQ Tableau \* ARABIC \s 2 </w:instrText>
      </w:r>
      <w:r w:rsidR="00E72F8E">
        <w:rPr>
          <w:color w:val="000000" w:themeColor="text1"/>
          <w:sz w:val="22"/>
          <w:szCs w:val="22"/>
        </w:rPr>
        <w:fldChar w:fldCharType="separate"/>
      </w:r>
      <w:r>
        <w:rPr>
          <w:noProof/>
          <w:color w:val="000000" w:themeColor="text1"/>
          <w:sz w:val="22"/>
          <w:szCs w:val="22"/>
        </w:rPr>
        <w:t>5</w:t>
      </w:r>
      <w:r w:rsidR="00E72F8E">
        <w:rPr>
          <w:color w:val="000000" w:themeColor="text1"/>
          <w:sz w:val="22"/>
          <w:szCs w:val="22"/>
        </w:rPr>
        <w:fldChar w:fldCharType="end"/>
      </w:r>
      <w:r w:rsidRPr="00BA4FCD">
        <w:rPr>
          <w:b/>
          <w:color w:val="000000" w:themeColor="text1"/>
          <w:sz w:val="22"/>
          <w:szCs w:val="22"/>
        </w:rPr>
        <w:t>:</w:t>
      </w:r>
      <w:r>
        <w:rPr>
          <w:color w:val="000000" w:themeColor="text1"/>
          <w:sz w:val="22"/>
          <w:szCs w:val="22"/>
        </w:rPr>
        <w:t xml:space="preserve"> D</w:t>
      </w:r>
      <w:r w:rsidRPr="00BA4FCD">
        <w:rPr>
          <w:color w:val="000000" w:themeColor="text1"/>
          <w:sz w:val="22"/>
          <w:szCs w:val="22"/>
        </w:rPr>
        <w:t>épenses de la lutte contre la tuberculose par fonction.</w:t>
      </w:r>
      <w:r w:rsidR="00807CE4">
        <w:rPr>
          <w:color w:val="000000" w:themeColor="text1"/>
          <w:sz w:val="22"/>
          <w:szCs w:val="22"/>
        </w:rPr>
        <w:t>(en million de francs CFA)</w:t>
      </w:r>
      <w:bookmarkEnd w:id="75"/>
    </w:p>
    <w:tbl>
      <w:tblPr>
        <w:tblW w:w="5000" w:type="pct"/>
        <w:tblCellMar>
          <w:left w:w="70" w:type="dxa"/>
          <w:right w:w="70" w:type="dxa"/>
        </w:tblCellMar>
        <w:tblLook w:val="04A0"/>
      </w:tblPr>
      <w:tblGrid>
        <w:gridCol w:w="1153"/>
        <w:gridCol w:w="1378"/>
        <w:gridCol w:w="2334"/>
        <w:gridCol w:w="791"/>
        <w:gridCol w:w="733"/>
        <w:gridCol w:w="753"/>
        <w:gridCol w:w="1593"/>
        <w:gridCol w:w="811"/>
      </w:tblGrid>
      <w:tr w:rsidR="00F46A0C" w:rsidRPr="00F46A0C" w:rsidTr="00F46A0C">
        <w:trPr>
          <w:trHeight w:val="525"/>
        </w:trPr>
        <w:tc>
          <w:tcPr>
            <w:tcW w:w="28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
                <w:sz w:val="16"/>
                <w:szCs w:val="16"/>
                <w:lang w:eastAsia="fr-FR"/>
              </w:rPr>
            </w:pPr>
            <w:r w:rsidRPr="00F46A0C">
              <w:rPr>
                <w:rFonts w:ascii="Arial Unicode MS" w:eastAsia="Arial Unicode MS" w:hAnsi="Arial Unicode MS" w:cs="Arial Unicode MS" w:hint="eastAsia"/>
                <w:b/>
                <w:sz w:val="16"/>
                <w:szCs w:val="16"/>
                <w:lang w:eastAsia="fr-FR"/>
              </w:rPr>
              <w:t>Fonctions des soins de santé</w:t>
            </w:r>
          </w:p>
        </w:tc>
        <w:tc>
          <w:tcPr>
            <w:tcW w:w="1010" w:type="pct"/>
            <w:gridSpan w:val="3"/>
            <w:tcBorders>
              <w:top w:val="single" w:sz="4" w:space="0" w:color="auto"/>
              <w:left w:val="nil"/>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center"/>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Dépense</w:t>
            </w:r>
          </w:p>
        </w:tc>
        <w:tc>
          <w:tcPr>
            <w:tcW w:w="679" w:type="pct"/>
            <w:tcBorders>
              <w:top w:val="single" w:sz="4" w:space="0" w:color="auto"/>
              <w:left w:val="nil"/>
              <w:bottom w:val="single" w:sz="4" w:space="0" w:color="auto"/>
              <w:right w:val="single" w:sz="4" w:space="0" w:color="auto"/>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r w:rsidRPr="00F46A0C">
              <w:rPr>
                <w:rFonts w:ascii="Calibri" w:eastAsia="Times New Roman" w:hAnsi="Calibri"/>
                <w:bCs w:val="0"/>
                <w:sz w:val="22"/>
                <w:szCs w:val="22"/>
                <w:lang w:eastAsia="fr-FR"/>
              </w:rPr>
              <w:t>Proportion en %</w:t>
            </w: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Soins curatifs</w:t>
            </w:r>
          </w:p>
        </w:tc>
        <w:tc>
          <w:tcPr>
            <w:tcW w:w="806" w:type="pct"/>
            <w:vMerge w:val="restart"/>
            <w:tcBorders>
              <w:top w:val="nil"/>
              <w:left w:val="single" w:sz="4" w:space="0" w:color="auto"/>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center"/>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Soins curatifs hospitaliers généraux</w:t>
            </w:r>
          </w:p>
        </w:tc>
        <w:tc>
          <w:tcPr>
            <w:tcW w:w="1307"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Soins curatifs hospitaliers généraux</w:t>
            </w:r>
          </w:p>
        </w:tc>
        <w:tc>
          <w:tcPr>
            <w:tcW w:w="357" w:type="pct"/>
            <w:tcBorders>
              <w:top w:val="nil"/>
              <w:left w:val="nil"/>
              <w:bottom w:val="single" w:sz="4" w:space="0" w:color="auto"/>
              <w:right w:val="single" w:sz="4" w:space="0" w:color="auto"/>
            </w:tcBorders>
            <w:shd w:val="clear" w:color="auto" w:fill="auto"/>
            <w:noWrap/>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598,03</w:t>
            </w:r>
          </w:p>
        </w:tc>
        <w:tc>
          <w:tcPr>
            <w:tcW w:w="314" w:type="pct"/>
            <w:vMerge w:val="restart"/>
            <w:tcBorders>
              <w:top w:val="nil"/>
              <w:left w:val="single" w:sz="4" w:space="0" w:color="auto"/>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center"/>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649,08</w:t>
            </w:r>
          </w:p>
        </w:tc>
        <w:tc>
          <w:tcPr>
            <w:tcW w:w="340" w:type="pct"/>
            <w:vMerge w:val="restart"/>
            <w:tcBorders>
              <w:top w:val="nil"/>
              <w:left w:val="single" w:sz="4" w:space="0" w:color="auto"/>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4269,15</w:t>
            </w:r>
          </w:p>
        </w:tc>
        <w:tc>
          <w:tcPr>
            <w:tcW w:w="679" w:type="pct"/>
            <w:vMerge w:val="restart"/>
            <w:tcBorders>
              <w:top w:val="nil"/>
              <w:left w:val="single" w:sz="4" w:space="0" w:color="auto"/>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53,89</w:t>
            </w: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806"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1307"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Soins curatifs hospitaliers spécialisés</w:t>
            </w:r>
          </w:p>
        </w:tc>
        <w:tc>
          <w:tcPr>
            <w:tcW w:w="357" w:type="pct"/>
            <w:tcBorders>
              <w:top w:val="nil"/>
              <w:left w:val="nil"/>
              <w:bottom w:val="single" w:sz="4" w:space="0" w:color="auto"/>
              <w:right w:val="single" w:sz="4" w:space="0" w:color="auto"/>
            </w:tcBorders>
            <w:shd w:val="clear" w:color="auto" w:fill="auto"/>
            <w:noWrap/>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51,05</w:t>
            </w:r>
          </w:p>
        </w:tc>
        <w:tc>
          <w:tcPr>
            <w:tcW w:w="314"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806" w:type="pct"/>
            <w:tcBorders>
              <w:top w:val="nil"/>
              <w:left w:val="nil"/>
              <w:bottom w:val="single" w:sz="4" w:space="0" w:color="auto"/>
              <w:right w:val="single" w:sz="4" w:space="0" w:color="auto"/>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r w:rsidRPr="00F46A0C">
              <w:rPr>
                <w:rFonts w:ascii="Calibri" w:eastAsia="Times New Roman" w:hAnsi="Calibri"/>
                <w:bCs w:val="0"/>
                <w:sz w:val="22"/>
                <w:szCs w:val="22"/>
                <w:lang w:eastAsia="fr-FR"/>
              </w:rPr>
              <w:t> </w:t>
            </w:r>
          </w:p>
        </w:tc>
        <w:tc>
          <w:tcPr>
            <w:tcW w:w="1307"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Soins curatifs ambulatoires généraux</w:t>
            </w:r>
          </w:p>
        </w:tc>
        <w:tc>
          <w:tcPr>
            <w:tcW w:w="357" w:type="pct"/>
            <w:tcBorders>
              <w:top w:val="nil"/>
              <w:left w:val="nil"/>
              <w:bottom w:val="single" w:sz="4" w:space="0" w:color="auto"/>
              <w:right w:val="single" w:sz="4" w:space="0" w:color="auto"/>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r w:rsidRPr="00F46A0C">
              <w:rPr>
                <w:rFonts w:ascii="Calibri" w:eastAsia="Times New Roman" w:hAnsi="Calibri"/>
                <w:bCs w:val="0"/>
                <w:sz w:val="22"/>
                <w:szCs w:val="22"/>
                <w:lang w:eastAsia="fr-FR"/>
              </w:rPr>
              <w:t> </w:t>
            </w:r>
          </w:p>
        </w:tc>
        <w:tc>
          <w:tcPr>
            <w:tcW w:w="314" w:type="pct"/>
            <w:tcBorders>
              <w:top w:val="nil"/>
              <w:left w:val="nil"/>
              <w:bottom w:val="single" w:sz="4" w:space="0" w:color="auto"/>
              <w:right w:val="single" w:sz="4" w:space="0" w:color="auto"/>
            </w:tcBorders>
            <w:shd w:val="clear" w:color="auto" w:fill="auto"/>
            <w:noWrap/>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3620,07</w:t>
            </w: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347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Services de laboratoire d’analyses médicales</w:t>
            </w:r>
          </w:p>
        </w:tc>
        <w:tc>
          <w:tcPr>
            <w:tcW w:w="340" w:type="pct"/>
            <w:tcBorders>
              <w:top w:val="nil"/>
              <w:left w:val="nil"/>
              <w:bottom w:val="single" w:sz="4" w:space="0" w:color="auto"/>
              <w:right w:val="single" w:sz="4" w:space="0" w:color="auto"/>
            </w:tcBorders>
            <w:shd w:val="clear" w:color="auto" w:fill="auto"/>
            <w:noWrap/>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122</w:t>
            </w:r>
          </w:p>
        </w:tc>
        <w:tc>
          <w:tcPr>
            <w:tcW w:w="679" w:type="pct"/>
            <w:tcBorders>
              <w:top w:val="nil"/>
              <w:left w:val="nil"/>
              <w:bottom w:val="single" w:sz="4" w:space="0" w:color="auto"/>
              <w:right w:val="single" w:sz="4" w:space="0" w:color="auto"/>
            </w:tcBorders>
            <w:shd w:val="clear" w:color="auto" w:fill="auto"/>
            <w:noWrap/>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1,54</w:t>
            </w: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347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Médicaments délivrés sur ordonnance</w:t>
            </w:r>
          </w:p>
        </w:tc>
        <w:tc>
          <w:tcPr>
            <w:tcW w:w="340" w:type="pct"/>
            <w:tcBorders>
              <w:top w:val="nil"/>
              <w:left w:val="nil"/>
              <w:bottom w:val="single" w:sz="4" w:space="0" w:color="auto"/>
              <w:right w:val="single" w:sz="4" w:space="0" w:color="auto"/>
            </w:tcBorders>
            <w:shd w:val="clear" w:color="auto" w:fill="auto"/>
            <w:noWrap/>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610,54</w:t>
            </w:r>
          </w:p>
        </w:tc>
        <w:tc>
          <w:tcPr>
            <w:tcW w:w="679" w:type="pct"/>
            <w:tcBorders>
              <w:top w:val="nil"/>
              <w:left w:val="nil"/>
              <w:bottom w:val="single" w:sz="4" w:space="0" w:color="auto"/>
              <w:right w:val="single" w:sz="4" w:space="0" w:color="auto"/>
            </w:tcBorders>
            <w:shd w:val="clear" w:color="auto" w:fill="auto"/>
            <w:noWrap/>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7,71</w:t>
            </w: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val="restart"/>
            <w:tcBorders>
              <w:top w:val="nil"/>
              <w:left w:val="single" w:sz="4" w:space="0" w:color="auto"/>
              <w:bottom w:val="single" w:sz="4" w:space="0" w:color="000000"/>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Soins préventifs</w:t>
            </w:r>
          </w:p>
        </w:tc>
        <w:tc>
          <w:tcPr>
            <w:tcW w:w="2470" w:type="pct"/>
            <w:gridSpan w:val="3"/>
            <w:tcBorders>
              <w:top w:val="single" w:sz="4" w:space="0" w:color="auto"/>
              <w:left w:val="nil"/>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Programmes d'IEC</w:t>
            </w:r>
          </w:p>
        </w:tc>
        <w:tc>
          <w:tcPr>
            <w:tcW w:w="314" w:type="pct"/>
            <w:tcBorders>
              <w:top w:val="nil"/>
              <w:left w:val="nil"/>
              <w:bottom w:val="single" w:sz="4" w:space="0" w:color="auto"/>
              <w:right w:val="single" w:sz="4" w:space="0" w:color="auto"/>
            </w:tcBorders>
            <w:shd w:val="clear" w:color="auto" w:fill="auto"/>
            <w:noWrap/>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226,13</w:t>
            </w:r>
          </w:p>
        </w:tc>
        <w:tc>
          <w:tcPr>
            <w:tcW w:w="34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Calibri" w:eastAsia="Times New Roman" w:hAnsi="Calibri"/>
                <w:bCs w:val="0"/>
                <w:lang w:eastAsia="fr-FR"/>
              </w:rPr>
            </w:pPr>
            <w:r w:rsidRPr="00F46A0C">
              <w:rPr>
                <w:rFonts w:ascii="Calibri" w:eastAsia="Times New Roman" w:hAnsi="Calibri"/>
                <w:bCs w:val="0"/>
                <w:sz w:val="22"/>
                <w:szCs w:val="22"/>
                <w:lang w:eastAsia="fr-FR"/>
              </w:rPr>
              <w:t>987,71</w:t>
            </w:r>
          </w:p>
        </w:tc>
        <w:tc>
          <w:tcPr>
            <w:tcW w:w="67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Calibri" w:eastAsia="Times New Roman" w:hAnsi="Calibri"/>
                <w:bCs w:val="0"/>
                <w:lang w:eastAsia="fr-FR"/>
              </w:rPr>
            </w:pPr>
            <w:r w:rsidRPr="00F46A0C">
              <w:rPr>
                <w:rFonts w:ascii="Calibri" w:eastAsia="Times New Roman" w:hAnsi="Calibri"/>
                <w:bCs w:val="0"/>
                <w:sz w:val="22"/>
                <w:szCs w:val="22"/>
                <w:lang w:eastAsia="fr-FR"/>
              </w:rPr>
              <w:t>12,47</w:t>
            </w: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2470" w:type="pct"/>
            <w:gridSpan w:val="3"/>
            <w:tcBorders>
              <w:top w:val="single" w:sz="4" w:space="0" w:color="auto"/>
              <w:left w:val="nil"/>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Programmes de détection précoce de maladie</w:t>
            </w:r>
          </w:p>
        </w:tc>
        <w:tc>
          <w:tcPr>
            <w:tcW w:w="314" w:type="pct"/>
            <w:tcBorders>
              <w:top w:val="nil"/>
              <w:left w:val="nil"/>
              <w:bottom w:val="single" w:sz="4" w:space="0" w:color="auto"/>
              <w:right w:val="single" w:sz="4" w:space="0" w:color="auto"/>
            </w:tcBorders>
            <w:shd w:val="clear" w:color="auto" w:fill="auto"/>
            <w:noWrap/>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180,59</w:t>
            </w: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2470" w:type="pct"/>
            <w:gridSpan w:val="3"/>
            <w:tcBorders>
              <w:top w:val="single" w:sz="4" w:space="0" w:color="auto"/>
              <w:left w:val="nil"/>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Programme de suivi de l’état de santé</w:t>
            </w:r>
          </w:p>
        </w:tc>
        <w:tc>
          <w:tcPr>
            <w:tcW w:w="314" w:type="pct"/>
            <w:tcBorders>
              <w:top w:val="nil"/>
              <w:left w:val="nil"/>
              <w:bottom w:val="single" w:sz="4" w:space="0" w:color="auto"/>
              <w:right w:val="single" w:sz="4" w:space="0" w:color="auto"/>
            </w:tcBorders>
            <w:shd w:val="clear" w:color="auto" w:fill="auto"/>
            <w:noWrap/>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1</w:t>
            </w: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806" w:type="pct"/>
            <w:vMerge w:val="restart"/>
            <w:tcBorders>
              <w:top w:val="nil"/>
              <w:left w:val="single" w:sz="4" w:space="0" w:color="auto"/>
              <w:bottom w:val="single" w:sz="4" w:space="0" w:color="000000"/>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Surveillance épidémiologique et programmes de lutte contre le risque et la maladie</w:t>
            </w:r>
          </w:p>
        </w:tc>
        <w:tc>
          <w:tcPr>
            <w:tcW w:w="1307"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Planification &amp; Gestion</w:t>
            </w:r>
          </w:p>
        </w:tc>
        <w:tc>
          <w:tcPr>
            <w:tcW w:w="357" w:type="pct"/>
            <w:tcBorders>
              <w:top w:val="nil"/>
              <w:left w:val="nil"/>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F46A0C">
              <w:rPr>
                <w:rFonts w:ascii="Arial Unicode MS" w:eastAsia="Arial Unicode MS" w:hAnsi="Arial Unicode MS" w:cs="Arial Unicode MS" w:hint="eastAsia"/>
                <w:bCs w:val="0"/>
                <w:sz w:val="18"/>
                <w:szCs w:val="18"/>
                <w:lang w:eastAsia="fr-FR"/>
              </w:rPr>
              <w:t>325,71</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right"/>
              <w:rPr>
                <w:rFonts w:ascii="Calibri" w:eastAsia="Times New Roman" w:hAnsi="Calibri"/>
                <w:bCs w:val="0"/>
                <w:sz w:val="18"/>
                <w:szCs w:val="18"/>
                <w:lang w:eastAsia="fr-FR"/>
              </w:rPr>
            </w:pPr>
            <w:r w:rsidRPr="00F46A0C">
              <w:rPr>
                <w:rFonts w:ascii="Calibri" w:eastAsia="Times New Roman" w:hAnsi="Calibri"/>
                <w:bCs w:val="0"/>
                <w:sz w:val="18"/>
                <w:szCs w:val="18"/>
                <w:lang w:eastAsia="fr-FR"/>
              </w:rPr>
              <w:t>579,99</w:t>
            </w: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806"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1307"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Supervision &amp; Evaluation (S&amp;E)</w:t>
            </w:r>
          </w:p>
        </w:tc>
        <w:tc>
          <w:tcPr>
            <w:tcW w:w="357" w:type="pct"/>
            <w:tcBorders>
              <w:top w:val="nil"/>
              <w:left w:val="nil"/>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F46A0C">
              <w:rPr>
                <w:rFonts w:ascii="Arial Unicode MS" w:eastAsia="Arial Unicode MS" w:hAnsi="Arial Unicode MS" w:cs="Arial Unicode MS" w:hint="eastAsia"/>
                <w:bCs w:val="0"/>
                <w:sz w:val="18"/>
                <w:szCs w:val="18"/>
                <w:lang w:eastAsia="fr-FR"/>
              </w:rPr>
              <w:t>159,77</w:t>
            </w:r>
          </w:p>
        </w:tc>
        <w:tc>
          <w:tcPr>
            <w:tcW w:w="314"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sz w:val="18"/>
                <w:szCs w:val="18"/>
                <w:lang w:eastAsia="fr-FR"/>
              </w:rPr>
            </w:pP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806"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1307"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Gestion des achats et des stocks</w:t>
            </w:r>
          </w:p>
        </w:tc>
        <w:tc>
          <w:tcPr>
            <w:tcW w:w="357" w:type="pct"/>
            <w:tcBorders>
              <w:top w:val="nil"/>
              <w:left w:val="nil"/>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F46A0C">
              <w:rPr>
                <w:rFonts w:ascii="Arial Unicode MS" w:eastAsia="Arial Unicode MS" w:hAnsi="Arial Unicode MS" w:cs="Arial Unicode MS" w:hint="eastAsia"/>
                <w:bCs w:val="0"/>
                <w:sz w:val="18"/>
                <w:szCs w:val="18"/>
                <w:lang w:eastAsia="fr-FR"/>
              </w:rPr>
              <w:t>0,06</w:t>
            </w:r>
          </w:p>
        </w:tc>
        <w:tc>
          <w:tcPr>
            <w:tcW w:w="314"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sz w:val="18"/>
                <w:szCs w:val="18"/>
                <w:lang w:eastAsia="fr-FR"/>
              </w:rPr>
            </w:pP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765"/>
        </w:trPr>
        <w:tc>
          <w:tcPr>
            <w:tcW w:w="688"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806"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1307"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Surveillance épidémiologique et programmes de lutte contre le risque et la maladie non spécifiée (n.c.a.)</w:t>
            </w:r>
          </w:p>
        </w:tc>
        <w:tc>
          <w:tcPr>
            <w:tcW w:w="357" w:type="pct"/>
            <w:tcBorders>
              <w:top w:val="nil"/>
              <w:left w:val="nil"/>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F46A0C">
              <w:rPr>
                <w:rFonts w:ascii="Arial Unicode MS" w:eastAsia="Arial Unicode MS" w:hAnsi="Arial Unicode MS" w:cs="Arial Unicode MS" w:hint="eastAsia"/>
                <w:bCs w:val="0"/>
                <w:sz w:val="18"/>
                <w:szCs w:val="18"/>
                <w:lang w:eastAsia="fr-FR"/>
              </w:rPr>
              <w:t>94,45</w:t>
            </w:r>
          </w:p>
        </w:tc>
        <w:tc>
          <w:tcPr>
            <w:tcW w:w="314"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sz w:val="18"/>
                <w:szCs w:val="18"/>
                <w:lang w:eastAsia="fr-FR"/>
              </w:rPr>
            </w:pP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val="restart"/>
            <w:tcBorders>
              <w:top w:val="nil"/>
              <w:left w:val="single" w:sz="4" w:space="0" w:color="auto"/>
              <w:bottom w:val="single" w:sz="4" w:space="0" w:color="000000"/>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Gouvernance, administration du système de santé et des financements</w:t>
            </w:r>
          </w:p>
        </w:tc>
        <w:tc>
          <w:tcPr>
            <w:tcW w:w="806" w:type="pct"/>
            <w:vMerge w:val="restart"/>
            <w:tcBorders>
              <w:top w:val="nil"/>
              <w:left w:val="single" w:sz="4" w:space="0" w:color="auto"/>
              <w:bottom w:val="single" w:sz="4" w:space="0" w:color="000000"/>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Gouvernance et administration du système de santé</w:t>
            </w:r>
          </w:p>
        </w:tc>
        <w:tc>
          <w:tcPr>
            <w:tcW w:w="1307"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Planification &amp; Gestion</w:t>
            </w:r>
          </w:p>
        </w:tc>
        <w:tc>
          <w:tcPr>
            <w:tcW w:w="357" w:type="pct"/>
            <w:tcBorders>
              <w:top w:val="nil"/>
              <w:left w:val="nil"/>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F46A0C">
              <w:rPr>
                <w:rFonts w:ascii="Arial Unicode MS" w:eastAsia="Arial Unicode MS" w:hAnsi="Arial Unicode MS" w:cs="Arial Unicode MS" w:hint="eastAsia"/>
                <w:bCs w:val="0"/>
                <w:sz w:val="18"/>
                <w:szCs w:val="18"/>
                <w:lang w:eastAsia="fr-FR"/>
              </w:rPr>
              <w:t>1344,29</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right"/>
              <w:rPr>
                <w:rFonts w:ascii="Calibri" w:eastAsia="Times New Roman" w:hAnsi="Calibri"/>
                <w:bCs w:val="0"/>
                <w:sz w:val="18"/>
                <w:szCs w:val="18"/>
                <w:lang w:eastAsia="fr-FR"/>
              </w:rPr>
            </w:pPr>
            <w:r w:rsidRPr="00F46A0C">
              <w:rPr>
                <w:rFonts w:ascii="Calibri" w:eastAsia="Times New Roman" w:hAnsi="Calibri"/>
                <w:bCs w:val="0"/>
                <w:sz w:val="18"/>
                <w:szCs w:val="18"/>
                <w:lang w:eastAsia="fr-FR"/>
              </w:rPr>
              <w:t>1467,72</w:t>
            </w:r>
          </w:p>
        </w:tc>
        <w:tc>
          <w:tcPr>
            <w:tcW w:w="340" w:type="pct"/>
            <w:vMerge w:val="restart"/>
            <w:tcBorders>
              <w:top w:val="nil"/>
              <w:left w:val="single" w:sz="4" w:space="0" w:color="auto"/>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right"/>
              <w:rPr>
                <w:rFonts w:ascii="Calibri" w:eastAsia="Times New Roman" w:hAnsi="Calibri"/>
                <w:bCs w:val="0"/>
                <w:lang w:eastAsia="fr-FR"/>
              </w:rPr>
            </w:pPr>
            <w:r w:rsidRPr="00F46A0C">
              <w:rPr>
                <w:rFonts w:ascii="Calibri" w:eastAsia="Times New Roman" w:hAnsi="Calibri"/>
                <w:bCs w:val="0"/>
                <w:sz w:val="22"/>
                <w:szCs w:val="22"/>
                <w:lang w:eastAsia="fr-FR"/>
              </w:rPr>
              <w:t>1932,7</w:t>
            </w:r>
          </w:p>
        </w:tc>
        <w:tc>
          <w:tcPr>
            <w:tcW w:w="679" w:type="pct"/>
            <w:vMerge w:val="restart"/>
            <w:tcBorders>
              <w:top w:val="nil"/>
              <w:left w:val="single" w:sz="4" w:space="0" w:color="auto"/>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right"/>
              <w:rPr>
                <w:rFonts w:ascii="Calibri" w:eastAsia="Times New Roman" w:hAnsi="Calibri"/>
                <w:bCs w:val="0"/>
                <w:lang w:eastAsia="fr-FR"/>
              </w:rPr>
            </w:pPr>
            <w:r w:rsidRPr="00F46A0C">
              <w:rPr>
                <w:rFonts w:ascii="Calibri" w:eastAsia="Times New Roman" w:hAnsi="Calibri"/>
                <w:bCs w:val="0"/>
                <w:sz w:val="22"/>
                <w:szCs w:val="22"/>
                <w:lang w:eastAsia="fr-FR"/>
              </w:rPr>
              <w:t>24,40</w:t>
            </w: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806"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1307"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Supervision &amp; Evaluation (S&amp;E)</w:t>
            </w:r>
          </w:p>
        </w:tc>
        <w:tc>
          <w:tcPr>
            <w:tcW w:w="357" w:type="pct"/>
            <w:tcBorders>
              <w:top w:val="nil"/>
              <w:left w:val="nil"/>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F46A0C">
              <w:rPr>
                <w:rFonts w:ascii="Arial Unicode MS" w:eastAsia="Arial Unicode MS" w:hAnsi="Arial Unicode MS" w:cs="Arial Unicode MS" w:hint="eastAsia"/>
                <w:bCs w:val="0"/>
                <w:sz w:val="18"/>
                <w:szCs w:val="18"/>
                <w:lang w:eastAsia="fr-FR"/>
              </w:rPr>
              <w:t>77,79</w:t>
            </w:r>
          </w:p>
        </w:tc>
        <w:tc>
          <w:tcPr>
            <w:tcW w:w="314"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sz w:val="18"/>
                <w:szCs w:val="18"/>
                <w:lang w:eastAsia="fr-FR"/>
              </w:rPr>
            </w:pP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688"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806"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1307" w:type="pct"/>
            <w:tcBorders>
              <w:top w:val="nil"/>
              <w:left w:val="nil"/>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Gestion des achats et des stocks</w:t>
            </w:r>
          </w:p>
        </w:tc>
        <w:tc>
          <w:tcPr>
            <w:tcW w:w="357" w:type="pct"/>
            <w:tcBorders>
              <w:top w:val="nil"/>
              <w:left w:val="nil"/>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F46A0C">
              <w:rPr>
                <w:rFonts w:ascii="Arial Unicode MS" w:eastAsia="Arial Unicode MS" w:hAnsi="Arial Unicode MS" w:cs="Arial Unicode MS" w:hint="eastAsia"/>
                <w:bCs w:val="0"/>
                <w:sz w:val="18"/>
                <w:szCs w:val="18"/>
                <w:lang w:eastAsia="fr-FR"/>
              </w:rPr>
              <w:t>7,95</w:t>
            </w:r>
          </w:p>
        </w:tc>
        <w:tc>
          <w:tcPr>
            <w:tcW w:w="314"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sz w:val="18"/>
                <w:szCs w:val="18"/>
                <w:lang w:eastAsia="fr-FR"/>
              </w:rPr>
            </w:pP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510"/>
        </w:trPr>
        <w:tc>
          <w:tcPr>
            <w:tcW w:w="688"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806"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1307"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Autres gouvernance et administration du système de santé (n.c.a.)</w:t>
            </w:r>
          </w:p>
        </w:tc>
        <w:tc>
          <w:tcPr>
            <w:tcW w:w="357" w:type="pct"/>
            <w:tcBorders>
              <w:top w:val="nil"/>
              <w:left w:val="nil"/>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F46A0C">
              <w:rPr>
                <w:rFonts w:ascii="Arial Unicode MS" w:eastAsia="Arial Unicode MS" w:hAnsi="Arial Unicode MS" w:cs="Arial Unicode MS" w:hint="eastAsia"/>
                <w:bCs w:val="0"/>
                <w:sz w:val="18"/>
                <w:szCs w:val="18"/>
                <w:lang w:eastAsia="fr-FR"/>
              </w:rPr>
              <w:t>37,69</w:t>
            </w:r>
          </w:p>
        </w:tc>
        <w:tc>
          <w:tcPr>
            <w:tcW w:w="314"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sz w:val="18"/>
                <w:szCs w:val="18"/>
                <w:lang w:eastAsia="fr-FR"/>
              </w:rPr>
            </w:pP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600"/>
        </w:trPr>
        <w:tc>
          <w:tcPr>
            <w:tcW w:w="688" w:type="pct"/>
            <w:vMerge/>
            <w:tcBorders>
              <w:top w:val="nil"/>
              <w:left w:val="single" w:sz="4" w:space="0" w:color="auto"/>
              <w:bottom w:val="single" w:sz="4" w:space="0" w:color="000000"/>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p>
        </w:tc>
        <w:tc>
          <w:tcPr>
            <w:tcW w:w="806" w:type="pct"/>
            <w:tcBorders>
              <w:top w:val="nil"/>
              <w:left w:val="nil"/>
              <w:bottom w:val="single" w:sz="4" w:space="0" w:color="auto"/>
              <w:right w:val="single" w:sz="4" w:space="0" w:color="auto"/>
            </w:tcBorders>
            <w:shd w:val="clear" w:color="auto" w:fill="auto"/>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Administration du financement de la santé</w:t>
            </w:r>
          </w:p>
        </w:tc>
        <w:tc>
          <w:tcPr>
            <w:tcW w:w="1664" w:type="pct"/>
            <w:gridSpan w:val="2"/>
            <w:tcBorders>
              <w:top w:val="single" w:sz="4" w:space="0" w:color="auto"/>
              <w:left w:val="nil"/>
              <w:bottom w:val="single" w:sz="4" w:space="0" w:color="auto"/>
              <w:right w:val="single" w:sz="4" w:space="0" w:color="auto"/>
            </w:tcBorders>
            <w:shd w:val="clear" w:color="auto" w:fill="auto"/>
            <w:vAlign w:val="center"/>
            <w:hideMark/>
          </w:tcPr>
          <w:p w:rsidR="00F46A0C" w:rsidRPr="00F46A0C" w:rsidRDefault="00F46A0C" w:rsidP="00F46A0C">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Administration du financement de la santé</w:t>
            </w:r>
          </w:p>
        </w:tc>
        <w:tc>
          <w:tcPr>
            <w:tcW w:w="314" w:type="pct"/>
            <w:tcBorders>
              <w:top w:val="nil"/>
              <w:left w:val="nil"/>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F46A0C">
              <w:rPr>
                <w:rFonts w:ascii="Arial Unicode MS" w:eastAsia="Arial Unicode MS" w:hAnsi="Arial Unicode MS" w:cs="Arial Unicode MS" w:hint="eastAsia"/>
                <w:bCs w:val="0"/>
                <w:sz w:val="16"/>
                <w:szCs w:val="16"/>
                <w:lang w:eastAsia="fr-FR"/>
              </w:rPr>
              <w:t>465,01</w:t>
            </w:r>
          </w:p>
        </w:tc>
        <w:tc>
          <w:tcPr>
            <w:tcW w:w="340"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679" w:type="pct"/>
            <w:vMerge/>
            <w:tcBorders>
              <w:top w:val="nil"/>
              <w:left w:val="single" w:sz="4" w:space="0" w:color="auto"/>
              <w:bottom w:val="single" w:sz="4" w:space="0" w:color="auto"/>
              <w:right w:val="single" w:sz="4" w:space="0" w:color="auto"/>
            </w:tcBorders>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r w:rsidR="00F46A0C" w:rsidRPr="00F46A0C" w:rsidTr="00F46A0C">
        <w:trPr>
          <w:trHeight w:val="300"/>
        </w:trPr>
        <w:tc>
          <w:tcPr>
            <w:tcW w:w="347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r w:rsidRPr="00F46A0C">
              <w:rPr>
                <w:rFonts w:ascii="Calibri" w:eastAsia="Times New Roman" w:hAnsi="Calibri"/>
                <w:bCs w:val="0"/>
                <w:sz w:val="22"/>
                <w:szCs w:val="22"/>
                <w:lang w:eastAsia="fr-FR"/>
              </w:rPr>
              <w:t>Ensemble</w:t>
            </w:r>
          </w:p>
        </w:tc>
        <w:tc>
          <w:tcPr>
            <w:tcW w:w="340" w:type="pct"/>
            <w:tcBorders>
              <w:top w:val="nil"/>
              <w:left w:val="nil"/>
              <w:bottom w:val="single" w:sz="4" w:space="0" w:color="auto"/>
              <w:right w:val="single" w:sz="4" w:space="0" w:color="auto"/>
            </w:tcBorders>
            <w:shd w:val="clear" w:color="auto" w:fill="auto"/>
            <w:vAlign w:val="bottom"/>
            <w:hideMark/>
          </w:tcPr>
          <w:p w:rsidR="00F46A0C" w:rsidRPr="00F46A0C" w:rsidRDefault="00F46A0C" w:rsidP="00F46A0C">
            <w:pPr>
              <w:autoSpaceDE/>
              <w:autoSpaceDN/>
              <w:adjustRightInd/>
              <w:spacing w:after="0" w:line="240" w:lineRule="auto"/>
              <w:jc w:val="right"/>
              <w:rPr>
                <w:rFonts w:ascii="Calibri" w:eastAsia="Times New Roman" w:hAnsi="Calibri"/>
                <w:bCs w:val="0"/>
                <w:lang w:eastAsia="fr-FR"/>
              </w:rPr>
            </w:pPr>
            <w:r w:rsidRPr="00F46A0C">
              <w:rPr>
                <w:rFonts w:ascii="Calibri" w:eastAsia="Times New Roman" w:hAnsi="Calibri"/>
                <w:bCs w:val="0"/>
                <w:sz w:val="22"/>
                <w:szCs w:val="22"/>
                <w:lang w:eastAsia="fr-FR"/>
              </w:rPr>
              <w:t>7922,1</w:t>
            </w:r>
          </w:p>
        </w:tc>
        <w:tc>
          <w:tcPr>
            <w:tcW w:w="679" w:type="pct"/>
            <w:tcBorders>
              <w:top w:val="nil"/>
              <w:left w:val="nil"/>
              <w:bottom w:val="single" w:sz="4" w:space="0" w:color="auto"/>
              <w:right w:val="single" w:sz="4" w:space="0" w:color="auto"/>
            </w:tcBorders>
            <w:shd w:val="clear" w:color="auto" w:fill="auto"/>
            <w:vAlign w:val="bottom"/>
            <w:hideMark/>
          </w:tcPr>
          <w:p w:rsidR="00F46A0C" w:rsidRPr="00F46A0C" w:rsidRDefault="00F46A0C" w:rsidP="00F46A0C">
            <w:pPr>
              <w:autoSpaceDE/>
              <w:autoSpaceDN/>
              <w:adjustRightInd/>
              <w:spacing w:after="0" w:line="240" w:lineRule="auto"/>
              <w:jc w:val="right"/>
              <w:rPr>
                <w:rFonts w:ascii="Calibri" w:eastAsia="Times New Roman" w:hAnsi="Calibri"/>
                <w:bCs w:val="0"/>
                <w:lang w:eastAsia="fr-FR"/>
              </w:rPr>
            </w:pPr>
            <w:r w:rsidRPr="00F46A0C">
              <w:rPr>
                <w:rFonts w:ascii="Calibri" w:eastAsia="Times New Roman" w:hAnsi="Calibri"/>
                <w:bCs w:val="0"/>
                <w:sz w:val="22"/>
                <w:szCs w:val="22"/>
                <w:lang w:eastAsia="fr-FR"/>
              </w:rPr>
              <w:t>100,00</w:t>
            </w:r>
          </w:p>
        </w:tc>
        <w:tc>
          <w:tcPr>
            <w:tcW w:w="509" w:type="pct"/>
            <w:tcBorders>
              <w:top w:val="nil"/>
              <w:left w:val="nil"/>
              <w:bottom w:val="nil"/>
              <w:right w:val="nil"/>
            </w:tcBorders>
            <w:shd w:val="clear" w:color="auto" w:fill="auto"/>
            <w:noWrap/>
            <w:vAlign w:val="bottom"/>
            <w:hideMark/>
          </w:tcPr>
          <w:p w:rsidR="00F46A0C" w:rsidRPr="00F46A0C" w:rsidRDefault="00F46A0C" w:rsidP="00F46A0C">
            <w:pPr>
              <w:autoSpaceDE/>
              <w:autoSpaceDN/>
              <w:adjustRightInd/>
              <w:spacing w:after="0" w:line="240" w:lineRule="auto"/>
              <w:jc w:val="left"/>
              <w:rPr>
                <w:rFonts w:ascii="Calibri" w:eastAsia="Times New Roman" w:hAnsi="Calibri"/>
                <w:bCs w:val="0"/>
                <w:lang w:eastAsia="fr-FR"/>
              </w:rPr>
            </w:pPr>
          </w:p>
        </w:tc>
      </w:tr>
    </w:tbl>
    <w:p w:rsidR="00E62F08" w:rsidRDefault="00E62F08" w:rsidP="00587784">
      <w:pPr>
        <w:spacing w:line="312" w:lineRule="auto"/>
      </w:pPr>
    </w:p>
    <w:p w:rsidR="00734095" w:rsidRPr="000161BF" w:rsidRDefault="00707ADF" w:rsidP="00587784">
      <w:pPr>
        <w:spacing w:line="312" w:lineRule="auto"/>
      </w:pPr>
      <w:r w:rsidRPr="0044670F">
        <w:t>Les soins curatifs généraux</w:t>
      </w:r>
      <w:r w:rsidR="00B32172">
        <w:t xml:space="preserve"> </w:t>
      </w:r>
      <w:r w:rsidRPr="0044670F">
        <w:t xml:space="preserve">viennent en première position avec </w:t>
      </w:r>
      <w:r>
        <w:t>77,76</w:t>
      </w:r>
      <w:r w:rsidRPr="0044670F">
        <w:t>% ceci est</w:t>
      </w:r>
      <w:r w:rsidR="00B32172">
        <w:t xml:space="preserve"> normal dans la mesure où les CS</w:t>
      </w:r>
      <w:r w:rsidRPr="0044670F">
        <w:t xml:space="preserve">ref sont en première ligne dans cette lutte, ensuite viennent </w:t>
      </w:r>
      <w:r>
        <w:t xml:space="preserve">les </w:t>
      </w:r>
      <w:r w:rsidRPr="0044670F">
        <w:t>programmes d’information</w:t>
      </w:r>
      <w:r>
        <w:t>,</w:t>
      </w:r>
      <w:r w:rsidRPr="0044670F">
        <w:t xml:space="preserve"> d’éducation et de conseil avec </w:t>
      </w:r>
      <w:r>
        <w:t>13,33</w:t>
      </w:r>
      <w:r w:rsidRPr="0044670F">
        <w:t xml:space="preserve">%. La gouvernance, administration du système de santé et des financements,  occupe le </w:t>
      </w:r>
      <w:r>
        <w:t>3</w:t>
      </w:r>
      <w:r w:rsidRPr="00C63457">
        <w:rPr>
          <w:vertAlign w:val="superscript"/>
        </w:rPr>
        <w:t>ème</w:t>
      </w:r>
      <w:r w:rsidRPr="0044670F">
        <w:t xml:space="preserve"> rang avec </w:t>
      </w:r>
      <w:r>
        <w:t>5,56</w:t>
      </w:r>
      <w:r w:rsidRPr="0044670F">
        <w:t>% suivi</w:t>
      </w:r>
      <w:r>
        <w:t>e</w:t>
      </w:r>
      <w:r w:rsidRPr="0044670F">
        <w:t xml:space="preserve"> des</w:t>
      </w:r>
      <w:r w:rsidR="00B32172">
        <w:t xml:space="preserve"> </w:t>
      </w:r>
      <w:r w:rsidR="009474ED" w:rsidRPr="00C63457">
        <w:t>Services auxiliaires (non-spécifié par fonction)</w:t>
      </w:r>
      <w:r w:rsidR="009474ED">
        <w:t xml:space="preserve"> avec 2,76%.</w:t>
      </w:r>
    </w:p>
    <w:p w:rsidR="006E2F4C" w:rsidRPr="00F77085" w:rsidRDefault="00B42507" w:rsidP="00947090">
      <w:pPr>
        <w:pStyle w:val="Titre1"/>
        <w:ind w:left="720" w:hanging="360"/>
      </w:pPr>
      <w:r>
        <w:t xml:space="preserve">6. </w:t>
      </w:r>
      <w:bookmarkStart w:id="76" w:name="_Toc413941262"/>
      <w:r w:rsidR="009736E4" w:rsidRPr="00F77085">
        <w:t>Résultat</w:t>
      </w:r>
      <w:r w:rsidR="009736E4">
        <w:t>s</w:t>
      </w:r>
      <w:r w:rsidR="009736E4" w:rsidRPr="00F77085">
        <w:t xml:space="preserve"> des dépenses du </w:t>
      </w:r>
      <w:r w:rsidR="009736E4" w:rsidRPr="009736E4">
        <w:t>VIH et du SIDA</w:t>
      </w:r>
      <w:bookmarkEnd w:id="76"/>
    </w:p>
    <w:p w:rsidR="00734095" w:rsidRPr="00F77085" w:rsidRDefault="00B42507" w:rsidP="00947090">
      <w:pPr>
        <w:pStyle w:val="Titre2"/>
        <w:ind w:left="1080" w:hanging="720"/>
      </w:pPr>
      <w:bookmarkStart w:id="77" w:name="_Toc413941263"/>
      <w:r>
        <w:t xml:space="preserve">6.1. </w:t>
      </w:r>
      <w:r w:rsidR="00734095" w:rsidRPr="00F77085">
        <w:t xml:space="preserve">Aperçu sur la situation du </w:t>
      </w:r>
      <w:r w:rsidR="00E36A42" w:rsidRPr="00F77085">
        <w:t>VIH ET DU SIDA</w:t>
      </w:r>
      <w:r w:rsidR="00734095" w:rsidRPr="00F77085">
        <w:t xml:space="preserve"> au Mali</w:t>
      </w:r>
      <w:bookmarkEnd w:id="77"/>
    </w:p>
    <w:p w:rsidR="00734095" w:rsidRPr="0044670F" w:rsidRDefault="00734095" w:rsidP="00587784">
      <w:pPr>
        <w:spacing w:line="312" w:lineRule="auto"/>
        <w:rPr>
          <w:lang w:eastAsia="en-US"/>
        </w:rPr>
      </w:pPr>
      <w:r w:rsidRPr="0044670F">
        <w:rPr>
          <w:lang w:eastAsia="en-US"/>
        </w:rPr>
        <w:t>La séroprévalence du VIH dans la population générale de 15-49 ans reste faible au Mali 1,2% (EDSM V 2012), avec une prédominance chez les femmes 1,3%</w:t>
      </w:r>
      <w:r w:rsidR="000F1DEB">
        <w:rPr>
          <w:lang w:eastAsia="en-US"/>
        </w:rPr>
        <w:t>,</w:t>
      </w:r>
      <w:r w:rsidRPr="0044670F">
        <w:rPr>
          <w:lang w:eastAsia="en-US"/>
        </w:rPr>
        <w:t xml:space="preserve"> que chez les hommes 0,8%. </w:t>
      </w:r>
    </w:p>
    <w:p w:rsidR="00734095" w:rsidRPr="0044670F" w:rsidRDefault="00734095" w:rsidP="00587784">
      <w:pPr>
        <w:spacing w:line="312" w:lineRule="auto"/>
        <w:rPr>
          <w:lang w:eastAsia="en-US"/>
        </w:rPr>
      </w:pPr>
      <w:r w:rsidRPr="0044670F">
        <w:rPr>
          <w:lang w:eastAsia="en-US"/>
        </w:rPr>
        <w:t xml:space="preserve">La surveillance sentinelle du VIH et de la Syphilis chez les femmes enceintes 2012 a montré une prévalence moyenne du VIH (2,9%) et de la syphilis (1,6%) sur 24 sites. </w:t>
      </w:r>
    </w:p>
    <w:p w:rsidR="00734095" w:rsidRPr="0044670F" w:rsidRDefault="00734095" w:rsidP="00587784">
      <w:pPr>
        <w:spacing w:line="312" w:lineRule="auto"/>
        <w:rPr>
          <w:lang w:eastAsia="en-US"/>
        </w:rPr>
      </w:pPr>
      <w:r w:rsidRPr="0044670F">
        <w:rPr>
          <w:lang w:eastAsia="en-US"/>
        </w:rPr>
        <w:t>Les données des différentes enquêtes sont soutenues par celles des activités de routine de Conseil Dépistage Volontaire (CDV), de la Prévention de la Transmission Mère Enfant du VIH (PTME), du diagnostic précoce, de la prise en charge des IST, d</w:t>
      </w:r>
      <w:r w:rsidR="009D5179" w:rsidRPr="0044670F">
        <w:rPr>
          <w:lang w:eastAsia="en-US"/>
        </w:rPr>
        <w:t>e la Planification Familiale</w:t>
      </w:r>
      <w:r w:rsidRPr="0044670F">
        <w:rPr>
          <w:lang w:eastAsia="en-US"/>
        </w:rPr>
        <w:t xml:space="preserve"> et de la Prise En charge (PEC) des PV VIH.</w:t>
      </w:r>
    </w:p>
    <w:p w:rsidR="00734095" w:rsidRPr="0044670F" w:rsidRDefault="00734095" w:rsidP="00587784">
      <w:pPr>
        <w:spacing w:line="312" w:lineRule="auto"/>
        <w:rPr>
          <w:lang w:eastAsia="en-US"/>
        </w:rPr>
      </w:pPr>
      <w:r w:rsidRPr="0044670F">
        <w:rPr>
          <w:lang w:eastAsia="en-US"/>
        </w:rPr>
        <w:t xml:space="preserve">L’objectif de la lutte contre cette maladie au Mali est de contribuer à la réduction de la transmission du VIH et de l’impact du Sida au Mali. </w:t>
      </w:r>
    </w:p>
    <w:p w:rsidR="00734095" w:rsidRPr="0044670F" w:rsidRDefault="00734095" w:rsidP="00587784">
      <w:pPr>
        <w:spacing w:line="312" w:lineRule="auto"/>
        <w:rPr>
          <w:lang w:eastAsia="en-US"/>
        </w:rPr>
      </w:pPr>
      <w:r w:rsidRPr="0044670F">
        <w:rPr>
          <w:lang w:eastAsia="en-US"/>
        </w:rPr>
        <w:t xml:space="preserve">La lutte contre le sida dans le secteur santé est basée sur 5 orientations stratégiques: </w:t>
      </w:r>
    </w:p>
    <w:p w:rsidR="00734095" w:rsidRPr="0044670F" w:rsidRDefault="00734095" w:rsidP="00EB2A62">
      <w:pPr>
        <w:pStyle w:val="Paragraphedeliste"/>
        <w:numPr>
          <w:ilvl w:val="0"/>
          <w:numId w:val="19"/>
        </w:numPr>
        <w:spacing w:line="312" w:lineRule="auto"/>
        <w:ind w:left="426"/>
        <w:rPr>
          <w:lang w:eastAsia="en-US"/>
        </w:rPr>
      </w:pPr>
      <w:r w:rsidRPr="0044670F">
        <w:rPr>
          <w:lang w:eastAsia="en-US"/>
        </w:rPr>
        <w:t xml:space="preserve">Permettre aux individus de connaître leur statut sérologique ; </w:t>
      </w:r>
    </w:p>
    <w:p w:rsidR="00734095" w:rsidRPr="0044670F" w:rsidRDefault="00734095" w:rsidP="00EB2A62">
      <w:pPr>
        <w:pStyle w:val="Paragraphedeliste"/>
        <w:numPr>
          <w:ilvl w:val="0"/>
          <w:numId w:val="19"/>
        </w:numPr>
        <w:spacing w:line="312" w:lineRule="auto"/>
        <w:ind w:left="426"/>
        <w:rPr>
          <w:lang w:eastAsia="en-US"/>
        </w:rPr>
      </w:pPr>
      <w:r w:rsidRPr="0044670F">
        <w:rPr>
          <w:lang w:eastAsia="en-US"/>
        </w:rPr>
        <w:t>Elargir au maximum la contribution du secteur de la santé à la prévention du VIH ;</w:t>
      </w:r>
    </w:p>
    <w:p w:rsidR="00734095" w:rsidRPr="0044670F" w:rsidRDefault="00734095" w:rsidP="00EB2A62">
      <w:pPr>
        <w:pStyle w:val="Paragraphedeliste"/>
        <w:numPr>
          <w:ilvl w:val="0"/>
          <w:numId w:val="19"/>
        </w:numPr>
        <w:spacing w:line="312" w:lineRule="auto"/>
        <w:ind w:left="426"/>
        <w:rPr>
          <w:lang w:eastAsia="en-US"/>
        </w:rPr>
      </w:pPr>
      <w:r w:rsidRPr="0044670F">
        <w:rPr>
          <w:lang w:eastAsia="en-US"/>
        </w:rPr>
        <w:t>Accélérer l’extension du traitement et des soins du VIH et du SIDA ;</w:t>
      </w:r>
    </w:p>
    <w:p w:rsidR="00734095" w:rsidRPr="0044670F" w:rsidRDefault="00734095" w:rsidP="00EB2A62">
      <w:pPr>
        <w:pStyle w:val="Paragraphedeliste"/>
        <w:numPr>
          <w:ilvl w:val="0"/>
          <w:numId w:val="19"/>
        </w:numPr>
        <w:spacing w:line="312" w:lineRule="auto"/>
        <w:ind w:left="426"/>
        <w:rPr>
          <w:lang w:eastAsia="en-US"/>
        </w:rPr>
      </w:pPr>
      <w:r w:rsidRPr="0044670F">
        <w:rPr>
          <w:lang w:eastAsia="en-US"/>
        </w:rPr>
        <w:t>Renforcer et étendre les systèmes de santé ;</w:t>
      </w:r>
    </w:p>
    <w:p w:rsidR="00734095" w:rsidRPr="0044670F" w:rsidRDefault="00734095" w:rsidP="00EB2A62">
      <w:pPr>
        <w:pStyle w:val="Paragraphedeliste"/>
        <w:numPr>
          <w:ilvl w:val="0"/>
          <w:numId w:val="19"/>
        </w:numPr>
        <w:spacing w:line="312" w:lineRule="auto"/>
        <w:ind w:left="426"/>
        <w:rPr>
          <w:lang w:eastAsia="en-US"/>
        </w:rPr>
      </w:pPr>
      <w:r w:rsidRPr="0044670F">
        <w:rPr>
          <w:lang w:eastAsia="en-US"/>
        </w:rPr>
        <w:t xml:space="preserve">Investir dans l’information stratégique pour améliorer l’efficacité de la riposte.  </w:t>
      </w:r>
    </w:p>
    <w:p w:rsidR="00734095" w:rsidRPr="0044670F" w:rsidRDefault="00734095" w:rsidP="00587784">
      <w:pPr>
        <w:spacing w:line="312" w:lineRule="auto"/>
        <w:rPr>
          <w:lang w:eastAsia="en-US"/>
        </w:rPr>
      </w:pPr>
      <w:r w:rsidRPr="0044670F">
        <w:rPr>
          <w:lang w:eastAsia="en-US"/>
        </w:rPr>
        <w:t xml:space="preserve">La Cellule sectorielle de Lutte contre le Sida du Ministère de la Santé et de l’Hygiène Publique (CSLS/MSHP) est appuyée dans la mise en œuvre de ces interventions par les secteurs publics, privés et les ONG.  </w:t>
      </w:r>
    </w:p>
    <w:p w:rsidR="009D5179" w:rsidRPr="0044670F" w:rsidRDefault="00B30618" w:rsidP="00947090">
      <w:pPr>
        <w:pStyle w:val="Titre2"/>
        <w:ind w:left="1080" w:hanging="720"/>
      </w:pPr>
      <w:bookmarkStart w:id="78" w:name="_Toc413941264"/>
      <w:r>
        <w:t xml:space="preserve">6.2. </w:t>
      </w:r>
      <w:r w:rsidR="009D5179" w:rsidRPr="0044670F">
        <w:t>Volume des dépenses pour la lutte contre le VIH Sida</w:t>
      </w:r>
      <w:bookmarkEnd w:id="78"/>
    </w:p>
    <w:p w:rsidR="00734095" w:rsidRPr="0044670F" w:rsidRDefault="00734095" w:rsidP="00587784">
      <w:pPr>
        <w:spacing w:line="312" w:lineRule="auto"/>
        <w:rPr>
          <w:lang w:eastAsia="en-US"/>
        </w:rPr>
      </w:pPr>
      <w:r w:rsidRPr="003A7FF6">
        <w:rPr>
          <w:lang w:eastAsia="en-US"/>
        </w:rPr>
        <w:t>En 201</w:t>
      </w:r>
      <w:r w:rsidR="003A7FF6" w:rsidRPr="003A7FF6">
        <w:rPr>
          <w:lang w:eastAsia="en-US"/>
        </w:rPr>
        <w:t>4</w:t>
      </w:r>
      <w:r w:rsidRPr="0044670F">
        <w:rPr>
          <w:lang w:eastAsia="en-US"/>
        </w:rPr>
        <w:t xml:space="preserve">, les dépenses totales du </w:t>
      </w:r>
      <w:r w:rsidR="00E36A42" w:rsidRPr="0044670F">
        <w:rPr>
          <w:lang w:eastAsia="en-US"/>
        </w:rPr>
        <w:t>VIH ET DU SIDA</w:t>
      </w:r>
      <w:r w:rsidRPr="0044670F">
        <w:rPr>
          <w:lang w:eastAsia="en-US"/>
        </w:rPr>
        <w:t xml:space="preserve"> sont estimées à 10</w:t>
      </w:r>
      <w:r w:rsidR="00AD5729" w:rsidRPr="0044670F">
        <w:rPr>
          <w:lang w:eastAsia="en-US"/>
        </w:rPr>
        <w:t>,</w:t>
      </w:r>
      <w:r w:rsidRPr="0044670F">
        <w:rPr>
          <w:lang w:eastAsia="en-US"/>
        </w:rPr>
        <w:t>161 </w:t>
      </w:r>
      <w:r w:rsidR="00AD5729" w:rsidRPr="0044670F">
        <w:rPr>
          <w:lang w:eastAsia="en-US"/>
        </w:rPr>
        <w:t>milliards de</w:t>
      </w:r>
      <w:r w:rsidRPr="0044670F">
        <w:rPr>
          <w:lang w:eastAsia="en-US"/>
        </w:rPr>
        <w:t xml:space="preserve"> F CFA, soit 2,99 %  des dépenses courantes de santé estimées à 339</w:t>
      </w:r>
      <w:r w:rsidR="00AD5729" w:rsidRPr="0044670F">
        <w:rPr>
          <w:lang w:eastAsia="en-US"/>
        </w:rPr>
        <w:t>,</w:t>
      </w:r>
      <w:r w:rsidRPr="0044670F">
        <w:rPr>
          <w:lang w:eastAsia="en-US"/>
        </w:rPr>
        <w:t>46</w:t>
      </w:r>
      <w:r w:rsidR="00AD5729" w:rsidRPr="0044670F">
        <w:rPr>
          <w:lang w:eastAsia="en-US"/>
        </w:rPr>
        <w:t>1</w:t>
      </w:r>
      <w:r w:rsidRPr="0044670F">
        <w:rPr>
          <w:lang w:eastAsia="en-US"/>
        </w:rPr>
        <w:t> </w:t>
      </w:r>
      <w:r w:rsidR="00AD5729" w:rsidRPr="0044670F">
        <w:rPr>
          <w:lang w:eastAsia="en-US"/>
        </w:rPr>
        <w:t>milliards</w:t>
      </w:r>
      <w:r w:rsidRPr="0044670F">
        <w:rPr>
          <w:lang w:eastAsia="en-US"/>
        </w:rPr>
        <w:t xml:space="preserve"> F CFA</w:t>
      </w:r>
      <w:r w:rsidR="00AD5729" w:rsidRPr="0044670F">
        <w:rPr>
          <w:lang w:eastAsia="en-US"/>
        </w:rPr>
        <w:t xml:space="preserve"> et 4,98% des dépenses des maladies infectieuses et  parasitaires</w:t>
      </w:r>
      <w:r w:rsidRPr="0044670F">
        <w:rPr>
          <w:lang w:eastAsia="en-US"/>
        </w:rPr>
        <w:t>.</w:t>
      </w:r>
    </w:p>
    <w:p w:rsidR="00734095" w:rsidRPr="00947090" w:rsidRDefault="00B30618" w:rsidP="00947090">
      <w:pPr>
        <w:pStyle w:val="Titre3"/>
        <w:ind w:left="1004" w:hanging="720"/>
        <w:rPr>
          <w:lang w:eastAsia="en-US"/>
        </w:rPr>
      </w:pPr>
      <w:bookmarkStart w:id="79" w:name="_Toc413941265"/>
      <w:r>
        <w:rPr>
          <w:lang w:eastAsia="en-US"/>
        </w:rPr>
        <w:t xml:space="preserve">6.2.1. </w:t>
      </w:r>
      <w:r w:rsidR="00734095" w:rsidRPr="003D51BE">
        <w:rPr>
          <w:lang w:eastAsia="en-US"/>
        </w:rPr>
        <w:t>Dépenses</w:t>
      </w:r>
      <w:r w:rsidR="00AD5729" w:rsidRPr="003D51BE">
        <w:rPr>
          <w:lang w:eastAsia="en-US"/>
        </w:rPr>
        <w:t xml:space="preserve"> par </w:t>
      </w:r>
      <w:r w:rsidR="00734095" w:rsidRPr="003D51BE">
        <w:rPr>
          <w:lang w:eastAsia="en-US"/>
        </w:rPr>
        <w:t xml:space="preserve">recettes des régimes de financement de la santé pour le </w:t>
      </w:r>
      <w:r w:rsidR="00E36A42" w:rsidRPr="003D51BE">
        <w:rPr>
          <w:lang w:eastAsia="en-US"/>
        </w:rPr>
        <w:t xml:space="preserve">VIH </w:t>
      </w:r>
      <w:r w:rsidR="003D51BE">
        <w:rPr>
          <w:lang w:eastAsia="en-US"/>
        </w:rPr>
        <w:t>et du</w:t>
      </w:r>
      <w:r w:rsidR="00E36A42" w:rsidRPr="003D51BE">
        <w:rPr>
          <w:lang w:eastAsia="en-US"/>
        </w:rPr>
        <w:t xml:space="preserve"> SIDA</w:t>
      </w:r>
      <w:bookmarkEnd w:id="79"/>
    </w:p>
    <w:p w:rsidR="003A7FF6" w:rsidRDefault="00734095" w:rsidP="00587784">
      <w:pPr>
        <w:spacing w:line="312" w:lineRule="auto"/>
        <w:rPr>
          <w:lang w:eastAsia="en-US"/>
        </w:rPr>
      </w:pPr>
      <w:r w:rsidRPr="0044670F">
        <w:rPr>
          <w:lang w:eastAsia="en-US"/>
        </w:rPr>
        <w:t xml:space="preserve">Le tableau </w:t>
      </w:r>
      <w:r w:rsidR="001F12ED">
        <w:rPr>
          <w:lang w:eastAsia="en-US"/>
        </w:rPr>
        <w:t xml:space="preserve">6.2.1 </w:t>
      </w:r>
      <w:r w:rsidRPr="0044670F">
        <w:rPr>
          <w:lang w:eastAsia="en-US"/>
        </w:rPr>
        <w:t xml:space="preserve">récapitule les dépenses </w:t>
      </w:r>
      <w:r w:rsidR="00AD5729" w:rsidRPr="0044670F">
        <w:rPr>
          <w:lang w:eastAsia="en-US"/>
        </w:rPr>
        <w:t>par</w:t>
      </w:r>
      <w:r w:rsidRPr="0044670F">
        <w:rPr>
          <w:lang w:eastAsia="en-US"/>
        </w:rPr>
        <w:t xml:space="preserve"> recettes des régimes de financement de la santé pour le </w:t>
      </w:r>
      <w:r w:rsidR="00E36A42" w:rsidRPr="0044670F">
        <w:rPr>
          <w:lang w:eastAsia="en-US"/>
        </w:rPr>
        <w:t xml:space="preserve">VIH </w:t>
      </w:r>
      <w:r w:rsidR="00072B8A">
        <w:rPr>
          <w:lang w:eastAsia="en-US"/>
        </w:rPr>
        <w:t>et du</w:t>
      </w:r>
      <w:r w:rsidR="00E36A42" w:rsidRPr="0044670F">
        <w:rPr>
          <w:lang w:eastAsia="en-US"/>
        </w:rPr>
        <w:t xml:space="preserve"> SIDA</w:t>
      </w:r>
      <w:r w:rsidRPr="0044670F">
        <w:rPr>
          <w:lang w:eastAsia="en-US"/>
        </w:rPr>
        <w:t>.</w:t>
      </w:r>
    </w:p>
    <w:p w:rsidR="003A7FF6" w:rsidRPr="0044670F" w:rsidRDefault="003A7FF6" w:rsidP="00587784">
      <w:pPr>
        <w:spacing w:line="312" w:lineRule="auto"/>
        <w:rPr>
          <w:lang w:eastAsia="en-US"/>
        </w:rPr>
      </w:pPr>
    </w:p>
    <w:p w:rsidR="00734095" w:rsidRDefault="00BA4FCD" w:rsidP="00947090">
      <w:pPr>
        <w:pStyle w:val="Lgende"/>
        <w:spacing w:after="120"/>
        <w:rPr>
          <w:color w:val="000000" w:themeColor="text1"/>
          <w:sz w:val="22"/>
          <w:szCs w:val="22"/>
          <w:lang w:eastAsia="en-US"/>
        </w:rPr>
      </w:pPr>
      <w:bookmarkStart w:id="80" w:name="_Toc483991280"/>
      <w:r w:rsidRPr="00BA4FCD">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6.2</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1</w:t>
      </w:r>
      <w:r w:rsidR="00E72F8E">
        <w:rPr>
          <w:color w:val="000000" w:themeColor="text1"/>
          <w:sz w:val="22"/>
          <w:szCs w:val="22"/>
        </w:rPr>
        <w:fldChar w:fldCharType="end"/>
      </w:r>
      <w:r w:rsidR="00734095" w:rsidRPr="00BA4FCD">
        <w:rPr>
          <w:color w:val="000000" w:themeColor="text1"/>
          <w:sz w:val="22"/>
          <w:szCs w:val="22"/>
          <w:lang w:eastAsia="en-US"/>
        </w:rPr>
        <w:t xml:space="preserve">: Dépenses </w:t>
      </w:r>
      <w:r w:rsidR="00AD5729" w:rsidRPr="00BA4FCD">
        <w:rPr>
          <w:color w:val="000000" w:themeColor="text1"/>
          <w:sz w:val="22"/>
          <w:szCs w:val="22"/>
          <w:lang w:eastAsia="en-US"/>
        </w:rPr>
        <w:t>par</w:t>
      </w:r>
      <w:r w:rsidR="00734095" w:rsidRPr="00BA4FCD">
        <w:rPr>
          <w:color w:val="000000" w:themeColor="text1"/>
          <w:sz w:val="22"/>
          <w:szCs w:val="22"/>
          <w:lang w:eastAsia="en-US"/>
        </w:rPr>
        <w:t xml:space="preserve"> recette des régimes de financement de la santé pour le </w:t>
      </w:r>
      <w:r w:rsidR="00E36A42" w:rsidRPr="00BA4FCD">
        <w:rPr>
          <w:color w:val="000000" w:themeColor="text1"/>
          <w:sz w:val="22"/>
          <w:szCs w:val="22"/>
          <w:lang w:eastAsia="en-US"/>
        </w:rPr>
        <w:t xml:space="preserve">VIH </w:t>
      </w:r>
      <w:r w:rsidR="002F1CCC" w:rsidRPr="00BA4FCD">
        <w:rPr>
          <w:color w:val="000000" w:themeColor="text1"/>
          <w:sz w:val="22"/>
          <w:szCs w:val="22"/>
          <w:lang w:eastAsia="en-US"/>
        </w:rPr>
        <w:t xml:space="preserve">et </w:t>
      </w:r>
      <w:r w:rsidR="00835E78" w:rsidRPr="00BA4FCD">
        <w:rPr>
          <w:color w:val="000000" w:themeColor="text1"/>
          <w:sz w:val="22"/>
          <w:szCs w:val="22"/>
          <w:lang w:eastAsia="en-US"/>
        </w:rPr>
        <w:t>le</w:t>
      </w:r>
      <w:r w:rsidR="00E36A42" w:rsidRPr="00BA4FCD">
        <w:rPr>
          <w:color w:val="000000" w:themeColor="text1"/>
          <w:sz w:val="22"/>
          <w:szCs w:val="22"/>
          <w:lang w:eastAsia="en-US"/>
        </w:rPr>
        <w:t xml:space="preserve"> SIDA</w:t>
      </w:r>
      <w:r w:rsidR="00480A9F" w:rsidRPr="00727485">
        <w:rPr>
          <w:rFonts w:eastAsia="Times New Roman"/>
          <w:bCs w:val="0"/>
          <w:lang w:eastAsia="fr-FR"/>
        </w:rPr>
        <w:t>(en million de francs CFA)</w:t>
      </w:r>
      <w:bookmarkEnd w:id="80"/>
    </w:p>
    <w:tbl>
      <w:tblPr>
        <w:tblW w:w="8939" w:type="dxa"/>
        <w:tblInd w:w="62" w:type="dxa"/>
        <w:tblCellMar>
          <w:left w:w="70" w:type="dxa"/>
          <w:right w:w="70" w:type="dxa"/>
        </w:tblCellMar>
        <w:tblLook w:val="04A0"/>
      </w:tblPr>
      <w:tblGrid>
        <w:gridCol w:w="2960"/>
        <w:gridCol w:w="3711"/>
        <w:gridCol w:w="1134"/>
        <w:gridCol w:w="1134"/>
      </w:tblGrid>
      <w:tr w:rsidR="00727485" w:rsidRPr="00727485" w:rsidTr="00750033">
        <w:trPr>
          <w:trHeight w:val="315"/>
        </w:trPr>
        <w:tc>
          <w:tcPr>
            <w:tcW w:w="6671" w:type="dxa"/>
            <w:gridSpan w:val="2"/>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27485" w:rsidRPr="00727485" w:rsidRDefault="00480A9F" w:rsidP="00727485">
            <w:pPr>
              <w:autoSpaceDE/>
              <w:autoSpaceDN/>
              <w:adjustRightInd/>
              <w:spacing w:after="0" w:line="240" w:lineRule="auto"/>
              <w:jc w:val="center"/>
              <w:rPr>
                <w:rFonts w:eastAsia="Times New Roman"/>
                <w:b/>
                <w:lang w:eastAsia="fr-FR"/>
              </w:rPr>
            </w:pPr>
            <w:r>
              <w:rPr>
                <w:rFonts w:eastAsia="Times New Roman"/>
                <w:b/>
                <w:lang w:eastAsia="fr-FR"/>
              </w:rPr>
              <w:t>R</w:t>
            </w:r>
            <w:r w:rsidR="00727485" w:rsidRPr="00727485">
              <w:rPr>
                <w:rFonts w:eastAsia="Times New Roman"/>
                <w:b/>
                <w:lang w:eastAsia="fr-FR"/>
              </w:rPr>
              <w:t>ecettes de régimes</w:t>
            </w:r>
          </w:p>
        </w:tc>
        <w:tc>
          <w:tcPr>
            <w:tcW w:w="1134" w:type="dxa"/>
            <w:tcBorders>
              <w:top w:val="single" w:sz="8" w:space="0" w:color="auto"/>
              <w:left w:val="nil"/>
              <w:bottom w:val="single" w:sz="4" w:space="0" w:color="auto"/>
              <w:right w:val="nil"/>
            </w:tcBorders>
            <w:shd w:val="clear" w:color="auto" w:fill="auto"/>
            <w:noWrap/>
            <w:vAlign w:val="bottom"/>
            <w:hideMark/>
          </w:tcPr>
          <w:p w:rsidR="00727485" w:rsidRPr="00727485" w:rsidRDefault="00727485" w:rsidP="00727485">
            <w:pPr>
              <w:autoSpaceDE/>
              <w:autoSpaceDN/>
              <w:adjustRightInd/>
              <w:spacing w:after="0" w:line="240" w:lineRule="auto"/>
              <w:jc w:val="center"/>
              <w:rPr>
                <w:rFonts w:eastAsia="Times New Roman"/>
                <w:b/>
                <w:lang w:eastAsia="fr-FR"/>
              </w:rPr>
            </w:pPr>
            <w:r w:rsidRPr="00727485">
              <w:rPr>
                <w:rFonts w:eastAsia="Times New Roman"/>
                <w:b/>
                <w:lang w:eastAsia="fr-FR"/>
              </w:rPr>
              <w:t>Dépenses</w:t>
            </w:r>
          </w:p>
        </w:tc>
        <w:tc>
          <w:tcPr>
            <w:tcW w:w="1134"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727485" w:rsidRPr="00727485" w:rsidRDefault="00727485" w:rsidP="00727485">
            <w:pPr>
              <w:autoSpaceDE/>
              <w:autoSpaceDN/>
              <w:adjustRightInd/>
              <w:spacing w:after="0" w:line="240" w:lineRule="auto"/>
              <w:jc w:val="center"/>
              <w:rPr>
                <w:rFonts w:eastAsia="Times New Roman"/>
                <w:b/>
                <w:lang w:eastAsia="fr-FR"/>
              </w:rPr>
            </w:pPr>
            <w:r w:rsidRPr="00727485">
              <w:rPr>
                <w:rFonts w:eastAsia="Times New Roman"/>
                <w:b/>
                <w:lang w:eastAsia="fr-FR"/>
              </w:rPr>
              <w:t>%</w:t>
            </w:r>
          </w:p>
        </w:tc>
      </w:tr>
      <w:tr w:rsidR="00727485" w:rsidRPr="00727485" w:rsidTr="00750033">
        <w:trPr>
          <w:trHeight w:val="630"/>
        </w:trPr>
        <w:tc>
          <w:tcPr>
            <w:tcW w:w="2960" w:type="dxa"/>
            <w:vMerge w:val="restart"/>
            <w:tcBorders>
              <w:top w:val="nil"/>
              <w:left w:val="single" w:sz="8" w:space="0" w:color="auto"/>
              <w:bottom w:val="single" w:sz="4" w:space="0" w:color="auto"/>
              <w:right w:val="single" w:sz="4" w:space="0" w:color="auto"/>
            </w:tcBorders>
            <w:shd w:val="clear" w:color="auto" w:fill="auto"/>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r w:rsidRPr="00727485">
              <w:rPr>
                <w:rFonts w:eastAsia="Times New Roman"/>
                <w:b/>
                <w:lang w:eastAsia="fr-FR"/>
              </w:rPr>
              <w:t>Transferts issus des revenus nationaux de l'administration publique (alloués à la santé)</w:t>
            </w:r>
          </w:p>
        </w:tc>
        <w:tc>
          <w:tcPr>
            <w:tcW w:w="3711" w:type="dxa"/>
            <w:tcBorders>
              <w:top w:val="nil"/>
              <w:left w:val="nil"/>
              <w:bottom w:val="single" w:sz="4" w:space="0" w:color="auto"/>
              <w:right w:val="single" w:sz="4" w:space="0" w:color="auto"/>
            </w:tcBorders>
            <w:shd w:val="clear" w:color="auto" w:fill="auto"/>
            <w:vAlign w:val="bottom"/>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Transferts internes et allocations</w:t>
            </w:r>
          </w:p>
        </w:tc>
        <w:tc>
          <w:tcPr>
            <w:tcW w:w="1134" w:type="dxa"/>
            <w:tcBorders>
              <w:top w:val="nil"/>
              <w:left w:val="nil"/>
              <w:bottom w:val="single" w:sz="4" w:space="0" w:color="auto"/>
              <w:right w:val="single" w:sz="4" w:space="0" w:color="auto"/>
            </w:tcBorders>
            <w:shd w:val="clear" w:color="auto" w:fill="auto"/>
            <w:noWrap/>
            <w:vAlign w:val="center"/>
            <w:hideMark/>
          </w:tcPr>
          <w:p w:rsidR="00727485" w:rsidRPr="00727485" w:rsidRDefault="00727485" w:rsidP="00727485">
            <w:pPr>
              <w:autoSpaceDE/>
              <w:autoSpaceDN/>
              <w:adjustRightInd/>
              <w:spacing w:after="0" w:line="240" w:lineRule="auto"/>
              <w:jc w:val="center"/>
              <w:rPr>
                <w:rFonts w:eastAsia="Times New Roman"/>
                <w:bCs w:val="0"/>
                <w:i/>
                <w:iCs/>
                <w:lang w:eastAsia="fr-FR"/>
              </w:rPr>
            </w:pPr>
            <w:r w:rsidRPr="00727485">
              <w:rPr>
                <w:rFonts w:eastAsia="Times New Roman"/>
                <w:bCs w:val="0"/>
                <w:i/>
                <w:iCs/>
                <w:lang w:eastAsia="fr-FR"/>
              </w:rPr>
              <w:t>2 694,83</w:t>
            </w:r>
          </w:p>
        </w:tc>
        <w:tc>
          <w:tcPr>
            <w:tcW w:w="1134" w:type="dxa"/>
            <w:tcBorders>
              <w:top w:val="nil"/>
              <w:left w:val="nil"/>
              <w:bottom w:val="nil"/>
              <w:right w:val="single" w:sz="8" w:space="0" w:color="auto"/>
            </w:tcBorders>
            <w:shd w:val="clear" w:color="auto" w:fill="auto"/>
            <w:noWrap/>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 xml:space="preserve">      20,53   </w:t>
            </w:r>
          </w:p>
        </w:tc>
      </w:tr>
      <w:tr w:rsidR="00727485" w:rsidRPr="00727485" w:rsidTr="00750033">
        <w:trPr>
          <w:trHeight w:val="1260"/>
        </w:trPr>
        <w:tc>
          <w:tcPr>
            <w:tcW w:w="2960" w:type="dxa"/>
            <w:vMerge/>
            <w:tcBorders>
              <w:top w:val="nil"/>
              <w:left w:val="single" w:sz="8" w:space="0" w:color="auto"/>
              <w:bottom w:val="single" w:sz="4" w:space="0" w:color="auto"/>
              <w:right w:val="single" w:sz="4" w:space="0" w:color="auto"/>
            </w:tcBorders>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p>
        </w:tc>
        <w:tc>
          <w:tcPr>
            <w:tcW w:w="3711" w:type="dxa"/>
            <w:tcBorders>
              <w:top w:val="nil"/>
              <w:left w:val="nil"/>
              <w:bottom w:val="single" w:sz="4" w:space="0" w:color="auto"/>
              <w:right w:val="single" w:sz="4" w:space="0" w:color="auto"/>
            </w:tcBorders>
            <w:shd w:val="clear" w:color="auto" w:fill="auto"/>
            <w:vAlign w:val="bottom"/>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Transferts par l'administration publique pour le compte de groupes particuliers</w:t>
            </w:r>
          </w:p>
        </w:tc>
        <w:tc>
          <w:tcPr>
            <w:tcW w:w="1134" w:type="dxa"/>
            <w:tcBorders>
              <w:top w:val="nil"/>
              <w:left w:val="nil"/>
              <w:bottom w:val="single" w:sz="4" w:space="0" w:color="auto"/>
              <w:right w:val="single" w:sz="4" w:space="0" w:color="auto"/>
            </w:tcBorders>
            <w:shd w:val="clear" w:color="auto" w:fill="auto"/>
            <w:noWrap/>
            <w:vAlign w:val="center"/>
            <w:hideMark/>
          </w:tcPr>
          <w:p w:rsidR="00727485" w:rsidRPr="00727485" w:rsidRDefault="00727485" w:rsidP="00727485">
            <w:pPr>
              <w:autoSpaceDE/>
              <w:autoSpaceDN/>
              <w:adjustRightInd/>
              <w:spacing w:after="0" w:line="240" w:lineRule="auto"/>
              <w:jc w:val="center"/>
              <w:rPr>
                <w:rFonts w:eastAsia="Times New Roman"/>
                <w:bCs w:val="0"/>
                <w:i/>
                <w:iCs/>
                <w:lang w:eastAsia="fr-FR"/>
              </w:rPr>
            </w:pPr>
            <w:r w:rsidRPr="00727485">
              <w:rPr>
                <w:rFonts w:eastAsia="Times New Roman"/>
                <w:bCs w:val="0"/>
                <w:i/>
                <w:iCs/>
                <w:lang w:eastAsia="fr-FR"/>
              </w:rPr>
              <w:t>0,64</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 xml:space="preserve">        0,00   </w:t>
            </w:r>
          </w:p>
        </w:tc>
      </w:tr>
      <w:tr w:rsidR="00727485" w:rsidRPr="00727485" w:rsidTr="00750033">
        <w:trPr>
          <w:trHeight w:val="855"/>
        </w:trPr>
        <w:tc>
          <w:tcPr>
            <w:tcW w:w="2960" w:type="dxa"/>
            <w:vMerge w:val="restart"/>
            <w:tcBorders>
              <w:top w:val="nil"/>
              <w:left w:val="single" w:sz="8" w:space="0" w:color="auto"/>
              <w:bottom w:val="single" w:sz="4" w:space="0" w:color="auto"/>
              <w:right w:val="single" w:sz="4" w:space="0" w:color="auto"/>
            </w:tcBorders>
            <w:shd w:val="clear" w:color="auto" w:fill="auto"/>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r w:rsidRPr="00727485">
              <w:rPr>
                <w:rFonts w:eastAsia="Times New Roman"/>
                <w:b/>
                <w:lang w:eastAsia="fr-FR"/>
              </w:rPr>
              <w:t>Transferts d'origine étrangère distribués par l'administration publique</w:t>
            </w:r>
          </w:p>
        </w:tc>
        <w:tc>
          <w:tcPr>
            <w:tcW w:w="3711" w:type="dxa"/>
            <w:tcBorders>
              <w:top w:val="nil"/>
              <w:left w:val="nil"/>
              <w:bottom w:val="single" w:sz="4" w:space="0" w:color="auto"/>
              <w:right w:val="single" w:sz="4" w:space="0" w:color="auto"/>
            </w:tcBorders>
            <w:shd w:val="clear" w:color="auto" w:fill="auto"/>
            <w:vAlign w:val="bottom"/>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Appui budgétaire sectoriel (ABS)</w:t>
            </w:r>
          </w:p>
        </w:tc>
        <w:tc>
          <w:tcPr>
            <w:tcW w:w="1134" w:type="dxa"/>
            <w:tcBorders>
              <w:top w:val="nil"/>
              <w:left w:val="nil"/>
              <w:bottom w:val="single" w:sz="4" w:space="0" w:color="auto"/>
              <w:right w:val="single" w:sz="4" w:space="0" w:color="auto"/>
            </w:tcBorders>
            <w:shd w:val="clear" w:color="auto" w:fill="auto"/>
            <w:noWrap/>
            <w:vAlign w:val="center"/>
            <w:hideMark/>
          </w:tcPr>
          <w:p w:rsidR="00727485" w:rsidRPr="00727485" w:rsidRDefault="00727485" w:rsidP="00727485">
            <w:pPr>
              <w:autoSpaceDE/>
              <w:autoSpaceDN/>
              <w:adjustRightInd/>
              <w:spacing w:after="0" w:line="240" w:lineRule="auto"/>
              <w:jc w:val="center"/>
              <w:rPr>
                <w:rFonts w:eastAsia="Times New Roman"/>
                <w:bCs w:val="0"/>
                <w:i/>
                <w:iCs/>
                <w:lang w:eastAsia="fr-FR"/>
              </w:rPr>
            </w:pPr>
            <w:r w:rsidRPr="00727485">
              <w:rPr>
                <w:rFonts w:eastAsia="Times New Roman"/>
                <w:bCs w:val="0"/>
                <w:i/>
                <w:iCs/>
                <w:lang w:eastAsia="fr-FR"/>
              </w:rPr>
              <w:t>2,9</w:t>
            </w:r>
          </w:p>
        </w:tc>
        <w:tc>
          <w:tcPr>
            <w:tcW w:w="1134" w:type="dxa"/>
            <w:tcBorders>
              <w:top w:val="nil"/>
              <w:left w:val="nil"/>
              <w:bottom w:val="single" w:sz="4" w:space="0" w:color="auto"/>
              <w:right w:val="single" w:sz="8" w:space="0" w:color="auto"/>
            </w:tcBorders>
            <w:shd w:val="clear" w:color="auto" w:fill="auto"/>
            <w:noWrap/>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 xml:space="preserve">        0,02   </w:t>
            </w:r>
          </w:p>
        </w:tc>
      </w:tr>
      <w:tr w:rsidR="00727485" w:rsidRPr="00727485" w:rsidTr="00750033">
        <w:trPr>
          <w:trHeight w:val="765"/>
        </w:trPr>
        <w:tc>
          <w:tcPr>
            <w:tcW w:w="2960" w:type="dxa"/>
            <w:vMerge/>
            <w:tcBorders>
              <w:top w:val="nil"/>
              <w:left w:val="single" w:sz="8" w:space="0" w:color="auto"/>
              <w:bottom w:val="single" w:sz="4" w:space="0" w:color="auto"/>
              <w:right w:val="single" w:sz="4" w:space="0" w:color="auto"/>
            </w:tcBorders>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p>
        </w:tc>
        <w:tc>
          <w:tcPr>
            <w:tcW w:w="3711" w:type="dxa"/>
            <w:tcBorders>
              <w:top w:val="nil"/>
              <w:left w:val="nil"/>
              <w:bottom w:val="single" w:sz="4" w:space="0" w:color="auto"/>
              <w:right w:val="single" w:sz="4" w:space="0" w:color="auto"/>
            </w:tcBorders>
            <w:shd w:val="clear" w:color="auto" w:fill="auto"/>
            <w:vAlign w:val="bottom"/>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Appui par programme/projet</w:t>
            </w:r>
          </w:p>
        </w:tc>
        <w:tc>
          <w:tcPr>
            <w:tcW w:w="1134" w:type="dxa"/>
            <w:tcBorders>
              <w:top w:val="nil"/>
              <w:left w:val="nil"/>
              <w:bottom w:val="single" w:sz="4" w:space="0" w:color="auto"/>
              <w:right w:val="single" w:sz="4" w:space="0" w:color="auto"/>
            </w:tcBorders>
            <w:shd w:val="clear" w:color="auto" w:fill="auto"/>
            <w:noWrap/>
            <w:vAlign w:val="center"/>
            <w:hideMark/>
          </w:tcPr>
          <w:p w:rsidR="00727485" w:rsidRPr="00727485" w:rsidRDefault="00727485" w:rsidP="00727485">
            <w:pPr>
              <w:autoSpaceDE/>
              <w:autoSpaceDN/>
              <w:adjustRightInd/>
              <w:spacing w:after="0" w:line="240" w:lineRule="auto"/>
              <w:jc w:val="center"/>
              <w:rPr>
                <w:rFonts w:eastAsia="Times New Roman"/>
                <w:bCs w:val="0"/>
                <w:i/>
                <w:iCs/>
                <w:lang w:eastAsia="fr-FR"/>
              </w:rPr>
            </w:pPr>
            <w:r w:rsidRPr="00727485">
              <w:rPr>
                <w:rFonts w:eastAsia="Times New Roman"/>
                <w:bCs w:val="0"/>
                <w:i/>
                <w:iCs/>
                <w:lang w:eastAsia="fr-FR"/>
              </w:rPr>
              <w:t>6 888,79</w:t>
            </w:r>
          </w:p>
        </w:tc>
        <w:tc>
          <w:tcPr>
            <w:tcW w:w="1134" w:type="dxa"/>
            <w:tcBorders>
              <w:top w:val="nil"/>
              <w:left w:val="nil"/>
              <w:bottom w:val="single" w:sz="4" w:space="0" w:color="auto"/>
              <w:right w:val="single" w:sz="8" w:space="0" w:color="auto"/>
            </w:tcBorders>
            <w:shd w:val="clear" w:color="auto" w:fill="auto"/>
            <w:noWrap/>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 xml:space="preserve">      52,48   </w:t>
            </w:r>
          </w:p>
        </w:tc>
      </w:tr>
      <w:tr w:rsidR="00727485" w:rsidRPr="00727485" w:rsidTr="00750033">
        <w:trPr>
          <w:trHeight w:val="630"/>
        </w:trPr>
        <w:tc>
          <w:tcPr>
            <w:tcW w:w="2960" w:type="dxa"/>
            <w:vMerge w:val="restart"/>
            <w:tcBorders>
              <w:top w:val="nil"/>
              <w:left w:val="single" w:sz="8" w:space="0" w:color="auto"/>
              <w:bottom w:val="single" w:sz="4" w:space="0" w:color="auto"/>
              <w:right w:val="single" w:sz="4" w:space="0" w:color="auto"/>
            </w:tcBorders>
            <w:shd w:val="clear" w:color="auto" w:fill="auto"/>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r w:rsidRPr="00727485">
              <w:rPr>
                <w:rFonts w:eastAsia="Times New Roman"/>
                <w:b/>
                <w:lang w:eastAsia="fr-FR"/>
              </w:rPr>
              <w:t>Autres revenus nationaux n.c.a.</w:t>
            </w:r>
          </w:p>
        </w:tc>
        <w:tc>
          <w:tcPr>
            <w:tcW w:w="3711" w:type="dxa"/>
            <w:tcBorders>
              <w:top w:val="nil"/>
              <w:left w:val="nil"/>
              <w:bottom w:val="single" w:sz="4" w:space="0" w:color="auto"/>
              <w:right w:val="single" w:sz="4" w:space="0" w:color="auto"/>
            </w:tcBorders>
            <w:shd w:val="clear" w:color="auto" w:fill="auto"/>
            <w:vAlign w:val="bottom"/>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Autres revenus venant des entreprises n.c.a.</w:t>
            </w:r>
          </w:p>
        </w:tc>
        <w:tc>
          <w:tcPr>
            <w:tcW w:w="1134" w:type="dxa"/>
            <w:tcBorders>
              <w:top w:val="nil"/>
              <w:left w:val="nil"/>
              <w:bottom w:val="single" w:sz="4" w:space="0" w:color="auto"/>
              <w:right w:val="single" w:sz="4" w:space="0" w:color="auto"/>
            </w:tcBorders>
            <w:shd w:val="clear" w:color="auto" w:fill="auto"/>
            <w:noWrap/>
            <w:vAlign w:val="center"/>
            <w:hideMark/>
          </w:tcPr>
          <w:p w:rsidR="00727485" w:rsidRPr="00727485" w:rsidRDefault="00727485" w:rsidP="00727485">
            <w:pPr>
              <w:autoSpaceDE/>
              <w:autoSpaceDN/>
              <w:adjustRightInd/>
              <w:spacing w:after="0" w:line="240" w:lineRule="auto"/>
              <w:jc w:val="center"/>
              <w:rPr>
                <w:rFonts w:eastAsia="Times New Roman"/>
                <w:bCs w:val="0"/>
                <w:i/>
                <w:iCs/>
                <w:lang w:eastAsia="fr-FR"/>
              </w:rPr>
            </w:pPr>
            <w:r w:rsidRPr="00727485">
              <w:rPr>
                <w:rFonts w:eastAsia="Times New Roman"/>
                <w:bCs w:val="0"/>
                <w:i/>
                <w:iCs/>
                <w:lang w:eastAsia="fr-FR"/>
              </w:rPr>
              <w:t>7,08</w:t>
            </w:r>
          </w:p>
        </w:tc>
        <w:tc>
          <w:tcPr>
            <w:tcW w:w="1134" w:type="dxa"/>
            <w:tcBorders>
              <w:top w:val="nil"/>
              <w:left w:val="nil"/>
              <w:bottom w:val="single" w:sz="4" w:space="0" w:color="auto"/>
              <w:right w:val="single" w:sz="8" w:space="0" w:color="auto"/>
            </w:tcBorders>
            <w:shd w:val="clear" w:color="auto" w:fill="auto"/>
            <w:noWrap/>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 xml:space="preserve">        0,05   </w:t>
            </w:r>
          </w:p>
        </w:tc>
      </w:tr>
      <w:tr w:rsidR="00727485" w:rsidRPr="00727485" w:rsidTr="00750033">
        <w:trPr>
          <w:trHeight w:val="630"/>
        </w:trPr>
        <w:tc>
          <w:tcPr>
            <w:tcW w:w="2960" w:type="dxa"/>
            <w:vMerge/>
            <w:tcBorders>
              <w:top w:val="nil"/>
              <w:left w:val="single" w:sz="8" w:space="0" w:color="auto"/>
              <w:bottom w:val="single" w:sz="4" w:space="0" w:color="auto"/>
              <w:right w:val="single" w:sz="4" w:space="0" w:color="auto"/>
            </w:tcBorders>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p>
        </w:tc>
        <w:tc>
          <w:tcPr>
            <w:tcW w:w="3711" w:type="dxa"/>
            <w:tcBorders>
              <w:top w:val="nil"/>
              <w:left w:val="nil"/>
              <w:bottom w:val="single" w:sz="4" w:space="0" w:color="auto"/>
              <w:right w:val="single" w:sz="4" w:space="0" w:color="auto"/>
            </w:tcBorders>
            <w:shd w:val="clear" w:color="auto" w:fill="auto"/>
            <w:vAlign w:val="bottom"/>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Autres revenus venant des ISBLSM n.c.a.</w:t>
            </w:r>
          </w:p>
        </w:tc>
        <w:tc>
          <w:tcPr>
            <w:tcW w:w="1134" w:type="dxa"/>
            <w:tcBorders>
              <w:top w:val="nil"/>
              <w:left w:val="nil"/>
              <w:bottom w:val="single" w:sz="4" w:space="0" w:color="auto"/>
              <w:right w:val="single" w:sz="4" w:space="0" w:color="auto"/>
            </w:tcBorders>
            <w:shd w:val="clear" w:color="auto" w:fill="auto"/>
            <w:noWrap/>
            <w:vAlign w:val="center"/>
            <w:hideMark/>
          </w:tcPr>
          <w:p w:rsidR="00727485" w:rsidRPr="00727485" w:rsidRDefault="00727485" w:rsidP="00727485">
            <w:pPr>
              <w:autoSpaceDE/>
              <w:autoSpaceDN/>
              <w:adjustRightInd/>
              <w:spacing w:after="0" w:line="240" w:lineRule="auto"/>
              <w:jc w:val="center"/>
              <w:rPr>
                <w:rFonts w:eastAsia="Times New Roman"/>
                <w:bCs w:val="0"/>
                <w:i/>
                <w:iCs/>
                <w:lang w:eastAsia="fr-FR"/>
              </w:rPr>
            </w:pPr>
            <w:r w:rsidRPr="00727485">
              <w:rPr>
                <w:rFonts w:eastAsia="Times New Roman"/>
                <w:bCs w:val="0"/>
                <w:i/>
                <w:iCs/>
                <w:lang w:eastAsia="fr-FR"/>
              </w:rPr>
              <w:t>6,49</w:t>
            </w:r>
          </w:p>
        </w:tc>
        <w:tc>
          <w:tcPr>
            <w:tcW w:w="1134" w:type="dxa"/>
            <w:tcBorders>
              <w:top w:val="nil"/>
              <w:left w:val="nil"/>
              <w:bottom w:val="single" w:sz="4" w:space="0" w:color="auto"/>
              <w:right w:val="single" w:sz="8" w:space="0" w:color="auto"/>
            </w:tcBorders>
            <w:shd w:val="clear" w:color="auto" w:fill="auto"/>
            <w:noWrap/>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 xml:space="preserve">        0,05   </w:t>
            </w:r>
          </w:p>
        </w:tc>
      </w:tr>
      <w:tr w:rsidR="00727485" w:rsidRPr="00727485" w:rsidTr="00750033">
        <w:trPr>
          <w:trHeight w:val="300"/>
        </w:trPr>
        <w:tc>
          <w:tcPr>
            <w:tcW w:w="2960" w:type="dxa"/>
            <w:vMerge w:val="restart"/>
            <w:tcBorders>
              <w:top w:val="nil"/>
              <w:left w:val="single" w:sz="8" w:space="0" w:color="auto"/>
              <w:bottom w:val="single" w:sz="4" w:space="0" w:color="auto"/>
              <w:right w:val="single" w:sz="4" w:space="0" w:color="auto"/>
            </w:tcBorders>
            <w:shd w:val="clear" w:color="auto" w:fill="auto"/>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r w:rsidRPr="00727485">
              <w:rPr>
                <w:rFonts w:eastAsia="Times New Roman"/>
                <w:b/>
                <w:lang w:eastAsia="fr-FR"/>
              </w:rPr>
              <w:t>Transferts directs étrangers</w:t>
            </w:r>
          </w:p>
        </w:tc>
        <w:tc>
          <w:tcPr>
            <w:tcW w:w="3711" w:type="dxa"/>
            <w:vMerge w:val="restart"/>
            <w:tcBorders>
              <w:top w:val="nil"/>
              <w:left w:val="single" w:sz="4" w:space="0" w:color="auto"/>
              <w:bottom w:val="single" w:sz="4" w:space="0" w:color="auto"/>
              <w:right w:val="single" w:sz="4" w:space="0" w:color="auto"/>
            </w:tcBorders>
            <w:shd w:val="clear" w:color="auto" w:fill="auto"/>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r w:rsidRPr="00727485">
              <w:rPr>
                <w:rFonts w:eastAsia="Times New Roman"/>
                <w:bCs w:val="0"/>
                <w:i/>
                <w:iCs/>
                <w:lang w:eastAsia="fr-FR"/>
              </w:rPr>
              <w:t>Transferts financiers directs étrangers</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27485" w:rsidRPr="00727485" w:rsidRDefault="00727485" w:rsidP="00727485">
            <w:pPr>
              <w:autoSpaceDE/>
              <w:autoSpaceDN/>
              <w:adjustRightInd/>
              <w:spacing w:after="0" w:line="240" w:lineRule="auto"/>
              <w:jc w:val="center"/>
              <w:rPr>
                <w:rFonts w:eastAsia="Times New Roman"/>
                <w:bCs w:val="0"/>
                <w:i/>
                <w:iCs/>
                <w:lang w:eastAsia="fr-FR"/>
              </w:rPr>
            </w:pPr>
            <w:r w:rsidRPr="00727485">
              <w:rPr>
                <w:rFonts w:eastAsia="Times New Roman"/>
                <w:bCs w:val="0"/>
                <w:i/>
                <w:iCs/>
                <w:lang w:eastAsia="fr-FR"/>
              </w:rPr>
              <w:t>3 525,16</w:t>
            </w:r>
          </w:p>
        </w:tc>
        <w:tc>
          <w:tcPr>
            <w:tcW w:w="1134"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727485" w:rsidRPr="00727485" w:rsidRDefault="00727485" w:rsidP="00727485">
            <w:pPr>
              <w:autoSpaceDE/>
              <w:autoSpaceDN/>
              <w:adjustRightInd/>
              <w:spacing w:after="0" w:line="240" w:lineRule="auto"/>
              <w:jc w:val="center"/>
              <w:rPr>
                <w:rFonts w:eastAsia="Times New Roman"/>
                <w:bCs w:val="0"/>
                <w:i/>
                <w:iCs/>
                <w:lang w:eastAsia="fr-FR"/>
              </w:rPr>
            </w:pPr>
            <w:r w:rsidRPr="00727485">
              <w:rPr>
                <w:rFonts w:eastAsia="Times New Roman"/>
                <w:bCs w:val="0"/>
                <w:i/>
                <w:iCs/>
                <w:lang w:eastAsia="fr-FR"/>
              </w:rPr>
              <w:t xml:space="preserve">      26,86   </w:t>
            </w:r>
          </w:p>
        </w:tc>
      </w:tr>
      <w:tr w:rsidR="00727485" w:rsidRPr="00727485" w:rsidTr="00750033">
        <w:trPr>
          <w:trHeight w:val="300"/>
        </w:trPr>
        <w:tc>
          <w:tcPr>
            <w:tcW w:w="2960" w:type="dxa"/>
            <w:vMerge/>
            <w:tcBorders>
              <w:top w:val="nil"/>
              <w:left w:val="single" w:sz="8" w:space="0" w:color="auto"/>
              <w:bottom w:val="single" w:sz="4" w:space="0" w:color="auto"/>
              <w:right w:val="single" w:sz="4" w:space="0" w:color="auto"/>
            </w:tcBorders>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p>
        </w:tc>
        <w:tc>
          <w:tcPr>
            <w:tcW w:w="3711" w:type="dxa"/>
            <w:vMerge/>
            <w:tcBorders>
              <w:top w:val="nil"/>
              <w:left w:val="single" w:sz="4" w:space="0" w:color="auto"/>
              <w:bottom w:val="single" w:sz="4" w:space="0" w:color="auto"/>
              <w:right w:val="single" w:sz="4" w:space="0" w:color="auto"/>
            </w:tcBorders>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p>
        </w:tc>
        <w:tc>
          <w:tcPr>
            <w:tcW w:w="1134" w:type="dxa"/>
            <w:vMerge/>
            <w:tcBorders>
              <w:top w:val="nil"/>
              <w:left w:val="single" w:sz="4" w:space="0" w:color="auto"/>
              <w:bottom w:val="single" w:sz="4" w:space="0" w:color="auto"/>
              <w:right w:val="single" w:sz="4" w:space="0" w:color="auto"/>
            </w:tcBorders>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p>
        </w:tc>
        <w:tc>
          <w:tcPr>
            <w:tcW w:w="1134" w:type="dxa"/>
            <w:vMerge/>
            <w:tcBorders>
              <w:top w:val="nil"/>
              <w:left w:val="single" w:sz="4" w:space="0" w:color="auto"/>
              <w:bottom w:val="single" w:sz="4" w:space="0" w:color="000000"/>
              <w:right w:val="single" w:sz="8" w:space="0" w:color="auto"/>
            </w:tcBorders>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p>
        </w:tc>
      </w:tr>
      <w:tr w:rsidR="00727485" w:rsidRPr="00727485" w:rsidTr="00750033">
        <w:trPr>
          <w:trHeight w:val="300"/>
        </w:trPr>
        <w:tc>
          <w:tcPr>
            <w:tcW w:w="2960" w:type="dxa"/>
            <w:vMerge/>
            <w:tcBorders>
              <w:top w:val="nil"/>
              <w:left w:val="single" w:sz="8" w:space="0" w:color="auto"/>
              <w:bottom w:val="single" w:sz="4" w:space="0" w:color="auto"/>
              <w:right w:val="single" w:sz="4" w:space="0" w:color="auto"/>
            </w:tcBorders>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p>
        </w:tc>
        <w:tc>
          <w:tcPr>
            <w:tcW w:w="3711" w:type="dxa"/>
            <w:vMerge/>
            <w:tcBorders>
              <w:top w:val="nil"/>
              <w:left w:val="single" w:sz="4" w:space="0" w:color="auto"/>
              <w:bottom w:val="single" w:sz="4" w:space="0" w:color="auto"/>
              <w:right w:val="single" w:sz="4" w:space="0" w:color="auto"/>
            </w:tcBorders>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p>
        </w:tc>
        <w:tc>
          <w:tcPr>
            <w:tcW w:w="1134" w:type="dxa"/>
            <w:vMerge/>
            <w:tcBorders>
              <w:top w:val="nil"/>
              <w:left w:val="single" w:sz="4" w:space="0" w:color="auto"/>
              <w:bottom w:val="single" w:sz="4" w:space="0" w:color="auto"/>
              <w:right w:val="single" w:sz="4" w:space="0" w:color="auto"/>
            </w:tcBorders>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p>
        </w:tc>
        <w:tc>
          <w:tcPr>
            <w:tcW w:w="1134" w:type="dxa"/>
            <w:vMerge/>
            <w:tcBorders>
              <w:top w:val="nil"/>
              <w:left w:val="single" w:sz="4" w:space="0" w:color="auto"/>
              <w:bottom w:val="single" w:sz="4" w:space="0" w:color="000000"/>
              <w:right w:val="single" w:sz="8" w:space="0" w:color="auto"/>
            </w:tcBorders>
            <w:vAlign w:val="center"/>
            <w:hideMark/>
          </w:tcPr>
          <w:p w:rsidR="00727485" w:rsidRPr="00727485" w:rsidRDefault="00727485" w:rsidP="00727485">
            <w:pPr>
              <w:autoSpaceDE/>
              <w:autoSpaceDN/>
              <w:adjustRightInd/>
              <w:spacing w:after="0" w:line="240" w:lineRule="auto"/>
              <w:jc w:val="left"/>
              <w:rPr>
                <w:rFonts w:eastAsia="Times New Roman"/>
                <w:bCs w:val="0"/>
                <w:i/>
                <w:iCs/>
                <w:lang w:eastAsia="fr-FR"/>
              </w:rPr>
            </w:pPr>
          </w:p>
        </w:tc>
      </w:tr>
      <w:tr w:rsidR="00727485" w:rsidRPr="00727485" w:rsidTr="00750033">
        <w:trPr>
          <w:trHeight w:val="330"/>
        </w:trPr>
        <w:tc>
          <w:tcPr>
            <w:tcW w:w="2960" w:type="dxa"/>
            <w:tcBorders>
              <w:top w:val="nil"/>
              <w:left w:val="single" w:sz="8" w:space="0" w:color="auto"/>
              <w:bottom w:val="single" w:sz="8" w:space="0" w:color="auto"/>
              <w:right w:val="single" w:sz="4" w:space="0" w:color="auto"/>
            </w:tcBorders>
            <w:shd w:val="clear" w:color="auto" w:fill="auto"/>
            <w:noWrap/>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r w:rsidRPr="00727485">
              <w:rPr>
                <w:rFonts w:eastAsia="Times New Roman"/>
                <w:b/>
                <w:lang w:eastAsia="fr-FR"/>
              </w:rPr>
              <w:t>Total</w:t>
            </w:r>
          </w:p>
        </w:tc>
        <w:tc>
          <w:tcPr>
            <w:tcW w:w="3711" w:type="dxa"/>
            <w:tcBorders>
              <w:top w:val="nil"/>
              <w:left w:val="nil"/>
              <w:bottom w:val="single" w:sz="8" w:space="0" w:color="auto"/>
              <w:right w:val="single" w:sz="4" w:space="0" w:color="auto"/>
            </w:tcBorders>
            <w:shd w:val="clear" w:color="auto" w:fill="auto"/>
            <w:noWrap/>
            <w:vAlign w:val="center"/>
            <w:hideMark/>
          </w:tcPr>
          <w:p w:rsidR="00727485" w:rsidRPr="00727485" w:rsidRDefault="00727485" w:rsidP="00727485">
            <w:pPr>
              <w:autoSpaceDE/>
              <w:autoSpaceDN/>
              <w:adjustRightInd/>
              <w:spacing w:after="0" w:line="240" w:lineRule="auto"/>
              <w:jc w:val="left"/>
              <w:rPr>
                <w:rFonts w:eastAsia="Times New Roman"/>
                <w:bCs w:val="0"/>
                <w:lang w:eastAsia="fr-FR"/>
              </w:rPr>
            </w:pPr>
            <w:r w:rsidRPr="00727485">
              <w:rPr>
                <w:rFonts w:eastAsia="Times New Roman"/>
                <w:bCs w:val="0"/>
                <w:lang w:eastAsia="fr-FR"/>
              </w:rPr>
              <w:t> </w:t>
            </w:r>
          </w:p>
        </w:tc>
        <w:tc>
          <w:tcPr>
            <w:tcW w:w="1134" w:type="dxa"/>
            <w:tcBorders>
              <w:top w:val="nil"/>
              <w:left w:val="nil"/>
              <w:bottom w:val="single" w:sz="8" w:space="0" w:color="auto"/>
              <w:right w:val="single" w:sz="4" w:space="0" w:color="auto"/>
            </w:tcBorders>
            <w:shd w:val="clear" w:color="auto" w:fill="auto"/>
            <w:noWrap/>
            <w:vAlign w:val="center"/>
            <w:hideMark/>
          </w:tcPr>
          <w:p w:rsidR="00727485" w:rsidRPr="00727485" w:rsidRDefault="00727485" w:rsidP="00727485">
            <w:pPr>
              <w:autoSpaceDE/>
              <w:autoSpaceDN/>
              <w:adjustRightInd/>
              <w:spacing w:after="0" w:line="240" w:lineRule="auto"/>
              <w:jc w:val="left"/>
              <w:rPr>
                <w:rFonts w:eastAsia="Times New Roman"/>
                <w:b/>
                <w:lang w:eastAsia="fr-FR"/>
              </w:rPr>
            </w:pPr>
            <w:r w:rsidRPr="00727485">
              <w:rPr>
                <w:rFonts w:eastAsia="Times New Roman"/>
                <w:b/>
                <w:lang w:eastAsia="fr-FR"/>
              </w:rPr>
              <w:t>13 125,89</w:t>
            </w:r>
          </w:p>
        </w:tc>
        <w:tc>
          <w:tcPr>
            <w:tcW w:w="1134" w:type="dxa"/>
            <w:tcBorders>
              <w:top w:val="nil"/>
              <w:left w:val="nil"/>
              <w:bottom w:val="single" w:sz="8" w:space="0" w:color="auto"/>
              <w:right w:val="single" w:sz="8" w:space="0" w:color="auto"/>
            </w:tcBorders>
            <w:shd w:val="clear" w:color="auto" w:fill="auto"/>
            <w:noWrap/>
            <w:vAlign w:val="center"/>
            <w:hideMark/>
          </w:tcPr>
          <w:p w:rsidR="00727485" w:rsidRPr="00727485" w:rsidRDefault="00727485" w:rsidP="00727485">
            <w:pPr>
              <w:autoSpaceDE/>
              <w:autoSpaceDN/>
              <w:adjustRightInd/>
              <w:spacing w:after="0" w:line="240" w:lineRule="auto"/>
              <w:jc w:val="center"/>
              <w:rPr>
                <w:rFonts w:eastAsia="Times New Roman"/>
                <w:b/>
                <w:lang w:eastAsia="fr-FR"/>
              </w:rPr>
            </w:pPr>
            <w:r w:rsidRPr="00727485">
              <w:rPr>
                <w:rFonts w:eastAsia="Times New Roman"/>
                <w:b/>
                <w:lang w:eastAsia="fr-FR"/>
              </w:rPr>
              <w:t>100,00</w:t>
            </w:r>
          </w:p>
        </w:tc>
      </w:tr>
    </w:tbl>
    <w:p w:rsidR="00734095" w:rsidRPr="0044670F" w:rsidRDefault="00835E78" w:rsidP="00EB2A62">
      <w:pPr>
        <w:spacing w:before="240" w:line="312" w:lineRule="auto"/>
        <w:rPr>
          <w:lang w:eastAsia="en-US"/>
        </w:rPr>
      </w:pPr>
      <w:r w:rsidRPr="00835E78">
        <w:rPr>
          <w:lang w:eastAsia="en-US"/>
        </w:rPr>
        <w:t>Ce tableau montre que les dépenses de lutte contre le VIH et le SIDA sont essentiellement subventionnées par les fonds étrangers avec plus de</w:t>
      </w:r>
      <w:r w:rsidR="001E7C41">
        <w:rPr>
          <w:lang w:eastAsia="en-US"/>
        </w:rPr>
        <w:t>s</w:t>
      </w:r>
      <w:r w:rsidR="001E7C41" w:rsidRPr="00C63457">
        <w:rPr>
          <w:sz w:val="28"/>
          <w:szCs w:val="28"/>
          <w:lang w:eastAsia="en-US"/>
        </w:rPr>
        <w:t>¾</w:t>
      </w:r>
      <w:r w:rsidRPr="003A7FF6">
        <w:rPr>
          <w:lang w:eastAsia="en-US"/>
        </w:rPr>
        <w:t>(</w:t>
      </w:r>
      <w:r w:rsidR="001E7C41" w:rsidRPr="003A7FF6">
        <w:rPr>
          <w:lang w:eastAsia="en-US"/>
        </w:rPr>
        <w:t>79,36</w:t>
      </w:r>
      <w:r w:rsidRPr="003A7FF6">
        <w:rPr>
          <w:lang w:eastAsia="en-US"/>
        </w:rPr>
        <w:t>%).</w:t>
      </w:r>
      <w:r w:rsidRPr="00835E78">
        <w:rPr>
          <w:lang w:eastAsia="en-US"/>
        </w:rPr>
        <w:t xml:space="preserve"> Ce qui rend la lutte contre le VIH et le SIDA très vulnérable en cas de retrait ou de diminution de l’appui des partenaires. De ce financement, </w:t>
      </w:r>
      <w:r w:rsidR="001E7C41">
        <w:rPr>
          <w:lang w:eastAsia="en-US"/>
        </w:rPr>
        <w:t>26,86</w:t>
      </w:r>
      <w:r w:rsidRPr="00835E78">
        <w:rPr>
          <w:lang w:eastAsia="en-US"/>
        </w:rPr>
        <w:t xml:space="preserve">% échappent au contrôle de l’administration publique et passent directement dans le système. Les fonds nationaux ne supportent </w:t>
      </w:r>
      <w:r w:rsidRPr="003A7FF6">
        <w:rPr>
          <w:lang w:eastAsia="en-US"/>
        </w:rPr>
        <w:t xml:space="preserve">que </w:t>
      </w:r>
      <w:r w:rsidR="001E7C41" w:rsidRPr="003A7FF6">
        <w:rPr>
          <w:lang w:eastAsia="en-US"/>
        </w:rPr>
        <w:t>20,64</w:t>
      </w:r>
      <w:r w:rsidRPr="00835E78">
        <w:rPr>
          <w:lang w:eastAsia="en-US"/>
        </w:rPr>
        <w:t xml:space="preserve"> % des dépenses courantes de lutte contre le VIH et le SIDA.</w:t>
      </w:r>
      <w:r w:rsidR="00AB50C6">
        <w:rPr>
          <w:lang w:eastAsia="en-US"/>
        </w:rPr>
        <w:t xml:space="preserve"> La part d</w:t>
      </w:r>
      <w:r w:rsidR="001E7C41">
        <w:rPr>
          <w:lang w:eastAsia="en-US"/>
        </w:rPr>
        <w:t>e l’ad</w:t>
      </w:r>
      <w:r w:rsidR="00D35FE3">
        <w:rPr>
          <w:lang w:eastAsia="en-US"/>
        </w:rPr>
        <w:t>m</w:t>
      </w:r>
      <w:r w:rsidR="001E7C41">
        <w:rPr>
          <w:lang w:eastAsia="en-US"/>
        </w:rPr>
        <w:t xml:space="preserve">inistration publique </w:t>
      </w:r>
      <w:r w:rsidR="000B622E">
        <w:rPr>
          <w:lang w:eastAsia="en-US"/>
        </w:rPr>
        <w:t xml:space="preserve">représente </w:t>
      </w:r>
      <w:r w:rsidR="001E7C41">
        <w:rPr>
          <w:lang w:eastAsia="en-US"/>
        </w:rPr>
        <w:t>20,53</w:t>
      </w:r>
      <w:r w:rsidR="000B622E">
        <w:rPr>
          <w:lang w:eastAsia="en-US"/>
        </w:rPr>
        <w:t>% des dépenses courantes de lutte contre le VIH  et le SIDA</w:t>
      </w:r>
      <w:r w:rsidR="001E7C41">
        <w:rPr>
          <w:lang w:eastAsia="en-US"/>
        </w:rPr>
        <w:t>.</w:t>
      </w:r>
    </w:p>
    <w:p w:rsidR="00734095" w:rsidRPr="00835E78" w:rsidRDefault="00E14457" w:rsidP="00947090">
      <w:pPr>
        <w:pStyle w:val="Titre3"/>
        <w:ind w:left="1004" w:hanging="720"/>
        <w:rPr>
          <w:lang w:eastAsia="en-US"/>
        </w:rPr>
      </w:pPr>
      <w:bookmarkStart w:id="81" w:name="_Toc413941266"/>
      <w:r>
        <w:rPr>
          <w:lang w:eastAsia="en-US"/>
        </w:rPr>
        <w:t xml:space="preserve">6.2.2. </w:t>
      </w:r>
      <w:r w:rsidR="00734095" w:rsidRPr="00835E78">
        <w:rPr>
          <w:lang w:eastAsia="en-US"/>
        </w:rPr>
        <w:t xml:space="preserve">Dépenses </w:t>
      </w:r>
      <w:r w:rsidR="00EA191C" w:rsidRPr="00835E78">
        <w:rPr>
          <w:lang w:eastAsia="en-US"/>
        </w:rPr>
        <w:t xml:space="preserve">par </w:t>
      </w:r>
      <w:r w:rsidR="00734095" w:rsidRPr="00835E78">
        <w:rPr>
          <w:lang w:eastAsia="en-US"/>
        </w:rPr>
        <w:t xml:space="preserve">régime de financement de la santé pour </w:t>
      </w:r>
      <w:r w:rsidR="00E36A42" w:rsidRPr="00835E78">
        <w:rPr>
          <w:lang w:eastAsia="en-US"/>
        </w:rPr>
        <w:t xml:space="preserve">VIH </w:t>
      </w:r>
      <w:r w:rsidR="00AB630D" w:rsidRPr="00835E78">
        <w:rPr>
          <w:lang w:eastAsia="en-US"/>
        </w:rPr>
        <w:t>et le</w:t>
      </w:r>
      <w:r w:rsidR="00E36A42" w:rsidRPr="00835E78">
        <w:rPr>
          <w:lang w:eastAsia="en-US"/>
        </w:rPr>
        <w:t xml:space="preserve"> SIDA</w:t>
      </w:r>
      <w:bookmarkEnd w:id="81"/>
    </w:p>
    <w:p w:rsidR="003A7FF6" w:rsidRPr="0044670F" w:rsidRDefault="00734095" w:rsidP="00587784">
      <w:pPr>
        <w:spacing w:line="312" w:lineRule="auto"/>
        <w:rPr>
          <w:lang w:eastAsia="en-US"/>
        </w:rPr>
      </w:pPr>
      <w:r w:rsidRPr="0044670F">
        <w:rPr>
          <w:lang w:eastAsia="en-US"/>
        </w:rPr>
        <w:t xml:space="preserve">Le tableau  récapitule les dépenses </w:t>
      </w:r>
      <w:r w:rsidR="00EA191C" w:rsidRPr="0044670F">
        <w:rPr>
          <w:lang w:eastAsia="en-US"/>
        </w:rPr>
        <w:t>par</w:t>
      </w:r>
      <w:r w:rsidRPr="0044670F">
        <w:rPr>
          <w:lang w:eastAsia="en-US"/>
        </w:rPr>
        <w:t xml:space="preserve"> régime de financement de la santé pour le </w:t>
      </w:r>
      <w:r w:rsidR="00E36A42" w:rsidRPr="0044670F">
        <w:rPr>
          <w:lang w:eastAsia="en-US"/>
        </w:rPr>
        <w:t xml:space="preserve">VIH ET </w:t>
      </w:r>
      <w:r w:rsidR="00490FCF">
        <w:rPr>
          <w:lang w:eastAsia="en-US"/>
        </w:rPr>
        <w:t xml:space="preserve">du </w:t>
      </w:r>
      <w:r w:rsidR="00E36A42" w:rsidRPr="0044670F">
        <w:rPr>
          <w:lang w:eastAsia="en-US"/>
        </w:rPr>
        <w:t xml:space="preserve"> SIDA</w:t>
      </w:r>
      <w:r w:rsidRPr="0044670F">
        <w:rPr>
          <w:lang w:eastAsia="en-US"/>
        </w:rPr>
        <w:t>.</w:t>
      </w:r>
    </w:p>
    <w:p w:rsidR="00266DAB" w:rsidRPr="00947090" w:rsidRDefault="00BA4FCD">
      <w:pPr>
        <w:pStyle w:val="Lgende"/>
        <w:rPr>
          <w:color w:val="000000"/>
          <w:sz w:val="24"/>
          <w:szCs w:val="24"/>
          <w:lang w:eastAsia="en-US"/>
        </w:rPr>
      </w:pPr>
      <w:bookmarkStart w:id="82" w:name="_Toc483991281"/>
      <w:r w:rsidRPr="00BA4FCD">
        <w:rPr>
          <w:color w:val="000000" w:themeColor="text1"/>
          <w:sz w:val="22"/>
          <w:szCs w:val="22"/>
        </w:rPr>
        <w:t xml:space="preserve">Tableau </w:t>
      </w:r>
      <w:r w:rsidR="00E72F8E">
        <w:rPr>
          <w:i w:val="0"/>
          <w:iCs w:val="0"/>
          <w:color w:val="000000" w:themeColor="text1"/>
          <w:sz w:val="22"/>
          <w:szCs w:val="22"/>
        </w:rPr>
        <w:fldChar w:fldCharType="begin"/>
      </w:r>
      <w:r w:rsidR="009844A2">
        <w:rPr>
          <w:color w:val="000000" w:themeColor="text1"/>
          <w:sz w:val="22"/>
          <w:szCs w:val="22"/>
        </w:rPr>
        <w:instrText xml:space="preserve"> STYLEREF 2 \s </w:instrText>
      </w:r>
      <w:r w:rsidR="00E72F8E">
        <w:rPr>
          <w:i w:val="0"/>
          <w:iCs w:val="0"/>
          <w:color w:val="000000" w:themeColor="text1"/>
          <w:sz w:val="22"/>
          <w:szCs w:val="22"/>
        </w:rPr>
        <w:fldChar w:fldCharType="separate"/>
      </w:r>
      <w:r w:rsidR="009844A2">
        <w:rPr>
          <w:noProof/>
          <w:color w:val="000000" w:themeColor="text1"/>
          <w:sz w:val="22"/>
          <w:szCs w:val="22"/>
        </w:rPr>
        <w:t>6.2</w:t>
      </w:r>
      <w:r w:rsidR="00E72F8E">
        <w:rPr>
          <w:i w:val="0"/>
          <w:iCs w:val="0"/>
          <w:color w:val="000000" w:themeColor="text1"/>
          <w:sz w:val="22"/>
          <w:szCs w:val="22"/>
        </w:rPr>
        <w:fldChar w:fldCharType="end"/>
      </w:r>
      <w:r w:rsidR="009844A2">
        <w:rPr>
          <w:color w:val="000000" w:themeColor="text1"/>
          <w:sz w:val="22"/>
          <w:szCs w:val="22"/>
        </w:rPr>
        <w:t>.</w:t>
      </w:r>
      <w:r w:rsidR="00E72F8E">
        <w:rPr>
          <w:i w:val="0"/>
          <w:iCs w:val="0"/>
          <w:color w:val="000000" w:themeColor="text1"/>
          <w:sz w:val="22"/>
          <w:szCs w:val="22"/>
        </w:rPr>
        <w:fldChar w:fldCharType="begin"/>
      </w:r>
      <w:r w:rsidR="009844A2">
        <w:rPr>
          <w:color w:val="000000" w:themeColor="text1"/>
          <w:sz w:val="22"/>
          <w:szCs w:val="22"/>
        </w:rPr>
        <w:instrText xml:space="preserve"> SEQ Tableau \* ARABIC \s 2 </w:instrText>
      </w:r>
      <w:r w:rsidR="00E72F8E">
        <w:rPr>
          <w:i w:val="0"/>
          <w:iCs w:val="0"/>
          <w:color w:val="000000" w:themeColor="text1"/>
          <w:sz w:val="22"/>
          <w:szCs w:val="22"/>
        </w:rPr>
        <w:fldChar w:fldCharType="separate"/>
      </w:r>
      <w:r w:rsidR="009844A2">
        <w:rPr>
          <w:noProof/>
          <w:color w:val="000000" w:themeColor="text1"/>
          <w:sz w:val="22"/>
          <w:szCs w:val="22"/>
        </w:rPr>
        <w:t>2</w:t>
      </w:r>
      <w:r w:rsidR="00E72F8E">
        <w:rPr>
          <w:i w:val="0"/>
          <w:iCs w:val="0"/>
          <w:color w:val="000000" w:themeColor="text1"/>
          <w:sz w:val="22"/>
          <w:szCs w:val="22"/>
        </w:rPr>
        <w:fldChar w:fldCharType="end"/>
      </w:r>
      <w:r w:rsidR="00734095" w:rsidRPr="00BA4FCD">
        <w:rPr>
          <w:color w:val="000000" w:themeColor="text1"/>
          <w:sz w:val="22"/>
          <w:szCs w:val="22"/>
          <w:lang w:eastAsia="en-US"/>
        </w:rPr>
        <w:t xml:space="preserve">: Dépenses </w:t>
      </w:r>
      <w:r w:rsidR="00EA191C" w:rsidRPr="00BA4FCD">
        <w:rPr>
          <w:color w:val="000000" w:themeColor="text1"/>
          <w:sz w:val="22"/>
          <w:szCs w:val="22"/>
          <w:lang w:eastAsia="en-US"/>
        </w:rPr>
        <w:t>par</w:t>
      </w:r>
      <w:r w:rsidR="00734095" w:rsidRPr="00BA4FCD">
        <w:rPr>
          <w:color w:val="000000" w:themeColor="text1"/>
          <w:sz w:val="22"/>
          <w:szCs w:val="22"/>
          <w:lang w:eastAsia="en-US"/>
        </w:rPr>
        <w:t xml:space="preserve"> régime de financement de la santé pour le </w:t>
      </w:r>
      <w:r>
        <w:rPr>
          <w:color w:val="000000" w:themeColor="text1"/>
          <w:sz w:val="22"/>
          <w:szCs w:val="22"/>
          <w:lang w:eastAsia="en-US"/>
        </w:rPr>
        <w:t>VIH et du</w:t>
      </w:r>
      <w:r w:rsidR="00E36A42" w:rsidRPr="00BA4FCD">
        <w:rPr>
          <w:color w:val="000000" w:themeColor="text1"/>
          <w:sz w:val="22"/>
          <w:szCs w:val="22"/>
          <w:lang w:eastAsia="en-US"/>
        </w:rPr>
        <w:t xml:space="preserve"> SIDA</w:t>
      </w:r>
      <w:r w:rsidR="00225001">
        <w:rPr>
          <w:color w:val="000000" w:themeColor="text1"/>
          <w:sz w:val="22"/>
          <w:szCs w:val="22"/>
          <w:lang w:eastAsia="en-US"/>
        </w:rPr>
        <w:t xml:space="preserve"> en million de FCFA</w:t>
      </w:r>
      <w:bookmarkEnd w:id="82"/>
    </w:p>
    <w:tbl>
      <w:tblPr>
        <w:tblW w:w="0" w:type="auto"/>
        <w:tblInd w:w="55" w:type="dxa"/>
        <w:tblCellMar>
          <w:left w:w="70" w:type="dxa"/>
          <w:right w:w="70" w:type="dxa"/>
        </w:tblCellMar>
        <w:tblLook w:val="04A0"/>
      </w:tblPr>
      <w:tblGrid>
        <w:gridCol w:w="6394"/>
        <w:gridCol w:w="1677"/>
        <w:gridCol w:w="1086"/>
      </w:tblGrid>
      <w:tr w:rsidR="00C86D7D" w:rsidRPr="00780372" w:rsidTr="00947090">
        <w:trPr>
          <w:trHeight w:val="20"/>
        </w:trPr>
        <w:tc>
          <w:tcPr>
            <w:tcW w:w="6394"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C86D7D" w:rsidRPr="00947090" w:rsidRDefault="00C86D7D" w:rsidP="00947090">
            <w:pPr>
              <w:spacing w:after="0" w:line="312" w:lineRule="auto"/>
              <w:jc w:val="left"/>
              <w:rPr>
                <w:b/>
                <w:lang w:eastAsia="fr-FR"/>
              </w:rPr>
            </w:pPr>
            <w:r w:rsidRPr="00947090">
              <w:rPr>
                <w:b/>
                <w:bCs w:val="0"/>
                <w:sz w:val="22"/>
                <w:szCs w:val="22"/>
              </w:rPr>
              <w:t>Régimes de financement</w:t>
            </w:r>
          </w:p>
        </w:tc>
        <w:tc>
          <w:tcPr>
            <w:tcW w:w="1677" w:type="dxa"/>
            <w:tcBorders>
              <w:top w:val="single" w:sz="8" w:space="0" w:color="auto"/>
              <w:left w:val="nil"/>
              <w:bottom w:val="single" w:sz="4" w:space="0" w:color="auto"/>
              <w:right w:val="nil"/>
            </w:tcBorders>
            <w:shd w:val="clear" w:color="000000" w:fill="C0C0C0"/>
            <w:noWrap/>
            <w:vAlign w:val="center"/>
            <w:hideMark/>
          </w:tcPr>
          <w:p w:rsidR="00C86D7D" w:rsidRPr="00947090" w:rsidRDefault="00C86D7D" w:rsidP="00947090">
            <w:pPr>
              <w:spacing w:after="0" w:line="312" w:lineRule="auto"/>
              <w:jc w:val="center"/>
              <w:rPr>
                <w:b/>
                <w:lang w:eastAsia="fr-FR"/>
              </w:rPr>
            </w:pPr>
            <w:r w:rsidRPr="00947090">
              <w:rPr>
                <w:b/>
                <w:bCs w:val="0"/>
                <w:sz w:val="22"/>
                <w:szCs w:val="22"/>
              </w:rPr>
              <w:t>Montant</w:t>
            </w:r>
          </w:p>
        </w:tc>
        <w:tc>
          <w:tcPr>
            <w:tcW w:w="1086" w:type="dxa"/>
            <w:tcBorders>
              <w:top w:val="single" w:sz="8" w:space="0" w:color="auto"/>
              <w:left w:val="single" w:sz="4" w:space="0" w:color="auto"/>
              <w:bottom w:val="single" w:sz="4" w:space="0" w:color="auto"/>
              <w:right w:val="single" w:sz="8" w:space="0" w:color="auto"/>
            </w:tcBorders>
            <w:shd w:val="clear" w:color="000000" w:fill="BFBFBF"/>
            <w:noWrap/>
            <w:vAlign w:val="center"/>
            <w:hideMark/>
          </w:tcPr>
          <w:p w:rsidR="00C86D7D" w:rsidRPr="00947090" w:rsidRDefault="00C86D7D" w:rsidP="00947090">
            <w:pPr>
              <w:spacing w:after="0" w:line="312" w:lineRule="auto"/>
              <w:jc w:val="center"/>
              <w:rPr>
                <w:b/>
                <w:lang w:eastAsia="fr-FR"/>
              </w:rPr>
            </w:pPr>
            <w:r w:rsidRPr="00947090">
              <w:rPr>
                <w:b/>
                <w:bCs w:val="0"/>
                <w:sz w:val="22"/>
                <w:szCs w:val="22"/>
              </w:rPr>
              <w:t>%</w:t>
            </w:r>
          </w:p>
        </w:tc>
      </w:tr>
      <w:tr w:rsidR="00C86D7D" w:rsidRPr="00780372" w:rsidTr="00947090">
        <w:trPr>
          <w:trHeight w:val="20"/>
        </w:trPr>
        <w:tc>
          <w:tcPr>
            <w:tcW w:w="6394" w:type="dxa"/>
            <w:tcBorders>
              <w:top w:val="nil"/>
              <w:left w:val="single" w:sz="8" w:space="0" w:color="auto"/>
              <w:bottom w:val="single" w:sz="4" w:space="0" w:color="000000"/>
              <w:right w:val="single" w:sz="4" w:space="0" w:color="000000"/>
            </w:tcBorders>
            <w:shd w:val="clear" w:color="auto" w:fill="auto"/>
            <w:vAlign w:val="center"/>
            <w:hideMark/>
          </w:tcPr>
          <w:p w:rsidR="00C86D7D" w:rsidRPr="00947090" w:rsidRDefault="00C86D7D" w:rsidP="00947090">
            <w:pPr>
              <w:spacing w:after="0" w:line="312" w:lineRule="auto"/>
              <w:jc w:val="left"/>
              <w:rPr>
                <w:lang w:eastAsia="fr-FR"/>
              </w:rPr>
            </w:pPr>
            <w:r w:rsidRPr="00947090">
              <w:rPr>
                <w:sz w:val="22"/>
                <w:szCs w:val="22"/>
              </w:rPr>
              <w:t>Régimes de l'administration publique et régimes contributifs obligatoires de financement de la santé</w:t>
            </w:r>
          </w:p>
        </w:tc>
        <w:tc>
          <w:tcPr>
            <w:tcW w:w="1677" w:type="dxa"/>
            <w:tcBorders>
              <w:top w:val="nil"/>
              <w:left w:val="single" w:sz="8" w:space="0" w:color="000000"/>
              <w:bottom w:val="single" w:sz="4" w:space="0" w:color="000000"/>
              <w:right w:val="nil"/>
            </w:tcBorders>
            <w:shd w:val="clear" w:color="auto" w:fill="auto"/>
            <w:noWrap/>
            <w:vAlign w:val="center"/>
            <w:hideMark/>
          </w:tcPr>
          <w:p w:rsidR="00C86D7D" w:rsidRPr="00947090" w:rsidRDefault="00BF2A71" w:rsidP="00947090">
            <w:pPr>
              <w:spacing w:after="0" w:line="312" w:lineRule="auto"/>
              <w:jc w:val="center"/>
              <w:rPr>
                <w:lang w:eastAsia="fr-FR"/>
              </w:rPr>
            </w:pPr>
            <w:r w:rsidRPr="00947090">
              <w:rPr>
                <w:sz w:val="22"/>
                <w:szCs w:val="22"/>
              </w:rPr>
              <w:t>2981,80</w:t>
            </w:r>
          </w:p>
        </w:tc>
        <w:tc>
          <w:tcPr>
            <w:tcW w:w="1086" w:type="dxa"/>
            <w:tcBorders>
              <w:top w:val="nil"/>
              <w:left w:val="single" w:sz="4" w:space="0" w:color="auto"/>
              <w:bottom w:val="single" w:sz="4" w:space="0" w:color="auto"/>
              <w:right w:val="single" w:sz="8" w:space="0" w:color="auto"/>
            </w:tcBorders>
            <w:shd w:val="clear" w:color="auto" w:fill="auto"/>
            <w:noWrap/>
            <w:vAlign w:val="center"/>
            <w:hideMark/>
          </w:tcPr>
          <w:p w:rsidR="00C86D7D" w:rsidRPr="00947090" w:rsidRDefault="00BF2A71" w:rsidP="00947090">
            <w:pPr>
              <w:spacing w:after="0" w:line="312" w:lineRule="auto"/>
              <w:jc w:val="center"/>
              <w:rPr>
                <w:lang w:eastAsia="fr-FR"/>
              </w:rPr>
            </w:pPr>
            <w:r w:rsidRPr="00947090">
              <w:rPr>
                <w:sz w:val="22"/>
                <w:szCs w:val="22"/>
              </w:rPr>
              <w:t>22,72</w:t>
            </w:r>
          </w:p>
        </w:tc>
      </w:tr>
      <w:tr w:rsidR="00C86D7D" w:rsidRPr="00780372" w:rsidTr="00947090">
        <w:trPr>
          <w:trHeight w:val="20"/>
        </w:trPr>
        <w:tc>
          <w:tcPr>
            <w:tcW w:w="6394" w:type="dxa"/>
            <w:tcBorders>
              <w:top w:val="nil"/>
              <w:left w:val="single" w:sz="8" w:space="0" w:color="auto"/>
              <w:bottom w:val="nil"/>
              <w:right w:val="single" w:sz="4" w:space="0" w:color="000000"/>
            </w:tcBorders>
            <w:shd w:val="clear" w:color="auto" w:fill="auto"/>
            <w:vAlign w:val="center"/>
            <w:hideMark/>
          </w:tcPr>
          <w:p w:rsidR="00C86D7D" w:rsidRPr="00947090" w:rsidRDefault="00C86D7D" w:rsidP="00947090">
            <w:pPr>
              <w:spacing w:after="0" w:line="312" w:lineRule="auto"/>
              <w:jc w:val="left"/>
              <w:rPr>
                <w:lang w:eastAsia="fr-FR"/>
              </w:rPr>
            </w:pPr>
            <w:r w:rsidRPr="00947090">
              <w:rPr>
                <w:sz w:val="22"/>
                <w:szCs w:val="22"/>
              </w:rPr>
              <w:t>Régimes volontaire de paiement privé des soins de santé</w:t>
            </w:r>
          </w:p>
        </w:tc>
        <w:tc>
          <w:tcPr>
            <w:tcW w:w="1677" w:type="dxa"/>
            <w:tcBorders>
              <w:top w:val="nil"/>
              <w:left w:val="single" w:sz="8" w:space="0" w:color="000000"/>
              <w:bottom w:val="nil"/>
              <w:right w:val="nil"/>
            </w:tcBorders>
            <w:shd w:val="clear" w:color="auto" w:fill="auto"/>
            <w:noWrap/>
            <w:vAlign w:val="center"/>
            <w:hideMark/>
          </w:tcPr>
          <w:p w:rsidR="00C86D7D" w:rsidRPr="00947090" w:rsidRDefault="00BF2A71" w:rsidP="00947090">
            <w:pPr>
              <w:spacing w:after="0" w:line="312" w:lineRule="auto"/>
              <w:jc w:val="center"/>
              <w:rPr>
                <w:lang w:eastAsia="fr-FR"/>
              </w:rPr>
            </w:pPr>
            <w:r w:rsidRPr="00947090">
              <w:rPr>
                <w:sz w:val="22"/>
                <w:szCs w:val="22"/>
              </w:rPr>
              <w:t>10129,81</w:t>
            </w:r>
          </w:p>
        </w:tc>
        <w:tc>
          <w:tcPr>
            <w:tcW w:w="1086" w:type="dxa"/>
            <w:tcBorders>
              <w:top w:val="nil"/>
              <w:left w:val="single" w:sz="4" w:space="0" w:color="auto"/>
              <w:bottom w:val="nil"/>
              <w:right w:val="single" w:sz="8" w:space="0" w:color="auto"/>
            </w:tcBorders>
            <w:shd w:val="clear" w:color="auto" w:fill="auto"/>
            <w:noWrap/>
            <w:vAlign w:val="center"/>
            <w:hideMark/>
          </w:tcPr>
          <w:p w:rsidR="00C86D7D" w:rsidRPr="00947090" w:rsidRDefault="00BF2A71" w:rsidP="00947090">
            <w:pPr>
              <w:spacing w:after="0" w:line="312" w:lineRule="auto"/>
              <w:jc w:val="center"/>
              <w:rPr>
                <w:lang w:eastAsia="fr-FR"/>
              </w:rPr>
            </w:pPr>
            <w:r w:rsidRPr="00947090">
              <w:rPr>
                <w:sz w:val="22"/>
                <w:szCs w:val="22"/>
              </w:rPr>
              <w:t>77,17</w:t>
            </w:r>
          </w:p>
        </w:tc>
      </w:tr>
      <w:tr w:rsidR="00BF2A71" w:rsidRPr="00780372" w:rsidTr="00947090">
        <w:trPr>
          <w:trHeight w:val="292"/>
        </w:trPr>
        <w:tc>
          <w:tcPr>
            <w:tcW w:w="6394" w:type="dxa"/>
            <w:tcBorders>
              <w:top w:val="single" w:sz="8" w:space="0" w:color="auto"/>
              <w:left w:val="single" w:sz="8" w:space="0" w:color="auto"/>
              <w:bottom w:val="single" w:sz="8" w:space="0" w:color="auto"/>
              <w:right w:val="nil"/>
            </w:tcBorders>
            <w:shd w:val="clear" w:color="auto" w:fill="auto"/>
            <w:noWrap/>
            <w:vAlign w:val="center"/>
            <w:hideMark/>
          </w:tcPr>
          <w:p w:rsidR="00BF2A71" w:rsidRPr="00947090" w:rsidRDefault="00BF2A71" w:rsidP="00947090">
            <w:pPr>
              <w:spacing w:after="0" w:line="312" w:lineRule="auto"/>
              <w:jc w:val="left"/>
              <w:rPr>
                <w:b/>
                <w:bCs w:val="0"/>
              </w:rPr>
            </w:pPr>
            <w:r w:rsidRPr="00947090">
              <w:rPr>
                <w:b/>
                <w:bCs w:val="0"/>
                <w:sz w:val="22"/>
                <w:szCs w:val="22"/>
              </w:rPr>
              <w:t>Régimes de financement du reste du monde (</w:t>
            </w:r>
            <w:r w:rsidR="00490FCF" w:rsidRPr="00947090">
              <w:rPr>
                <w:b/>
                <w:bCs w:val="0"/>
                <w:sz w:val="22"/>
                <w:szCs w:val="22"/>
              </w:rPr>
              <w:t>non-résidents</w:t>
            </w:r>
            <w:r w:rsidRPr="00947090">
              <w:rPr>
                <w:b/>
                <w:bCs w:val="0"/>
                <w:sz w:val="22"/>
                <w:szCs w:val="22"/>
              </w:rPr>
              <w:t>)</w:t>
            </w:r>
          </w:p>
        </w:tc>
        <w:tc>
          <w:tcPr>
            <w:tcW w:w="1677" w:type="dxa"/>
            <w:tcBorders>
              <w:top w:val="single" w:sz="8" w:space="0" w:color="auto"/>
              <w:left w:val="single" w:sz="8" w:space="0" w:color="000000"/>
              <w:bottom w:val="single" w:sz="8" w:space="0" w:color="auto"/>
              <w:right w:val="nil"/>
            </w:tcBorders>
            <w:shd w:val="clear" w:color="auto" w:fill="auto"/>
            <w:noWrap/>
            <w:vAlign w:val="center"/>
            <w:hideMark/>
          </w:tcPr>
          <w:p w:rsidR="00BF2A71" w:rsidRPr="00947090" w:rsidRDefault="00BF2A71" w:rsidP="00947090">
            <w:pPr>
              <w:spacing w:after="0" w:line="312" w:lineRule="auto"/>
              <w:jc w:val="center"/>
              <w:rPr>
                <w:b/>
                <w:bCs w:val="0"/>
              </w:rPr>
            </w:pPr>
            <w:r w:rsidRPr="00947090">
              <w:rPr>
                <w:b/>
                <w:bCs w:val="0"/>
                <w:sz w:val="22"/>
                <w:szCs w:val="22"/>
              </w:rPr>
              <w:t>14,27</w:t>
            </w:r>
          </w:p>
        </w:tc>
        <w:tc>
          <w:tcPr>
            <w:tcW w:w="108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BF2A71" w:rsidRPr="00947090" w:rsidRDefault="00BF2A71" w:rsidP="00947090">
            <w:pPr>
              <w:spacing w:after="0" w:line="312" w:lineRule="auto"/>
              <w:jc w:val="center"/>
              <w:rPr>
                <w:b/>
                <w:bCs w:val="0"/>
              </w:rPr>
            </w:pPr>
            <w:r w:rsidRPr="00947090">
              <w:rPr>
                <w:b/>
                <w:bCs w:val="0"/>
                <w:sz w:val="22"/>
                <w:szCs w:val="22"/>
              </w:rPr>
              <w:t>0,11</w:t>
            </w:r>
          </w:p>
        </w:tc>
      </w:tr>
      <w:tr w:rsidR="00C86D7D" w:rsidRPr="00780372" w:rsidTr="00947090">
        <w:trPr>
          <w:trHeight w:val="20"/>
        </w:trPr>
        <w:tc>
          <w:tcPr>
            <w:tcW w:w="6394" w:type="dxa"/>
            <w:tcBorders>
              <w:top w:val="single" w:sz="8" w:space="0" w:color="auto"/>
              <w:left w:val="single" w:sz="8" w:space="0" w:color="auto"/>
              <w:bottom w:val="single" w:sz="8" w:space="0" w:color="auto"/>
              <w:right w:val="nil"/>
            </w:tcBorders>
            <w:shd w:val="clear" w:color="auto" w:fill="auto"/>
            <w:noWrap/>
            <w:vAlign w:val="center"/>
            <w:hideMark/>
          </w:tcPr>
          <w:p w:rsidR="00C86D7D" w:rsidRPr="00947090" w:rsidRDefault="00C86D7D" w:rsidP="00947090">
            <w:pPr>
              <w:spacing w:after="0" w:line="312" w:lineRule="auto"/>
              <w:jc w:val="left"/>
              <w:rPr>
                <w:b/>
                <w:lang w:eastAsia="fr-FR"/>
              </w:rPr>
            </w:pPr>
            <w:r w:rsidRPr="00947090">
              <w:rPr>
                <w:b/>
                <w:bCs w:val="0"/>
                <w:sz w:val="22"/>
                <w:szCs w:val="22"/>
              </w:rPr>
              <w:t>Ensemble</w:t>
            </w:r>
          </w:p>
        </w:tc>
        <w:tc>
          <w:tcPr>
            <w:tcW w:w="1677" w:type="dxa"/>
            <w:tcBorders>
              <w:top w:val="single" w:sz="8" w:space="0" w:color="auto"/>
              <w:left w:val="single" w:sz="8" w:space="0" w:color="000000"/>
              <w:bottom w:val="single" w:sz="8" w:space="0" w:color="auto"/>
              <w:right w:val="nil"/>
            </w:tcBorders>
            <w:shd w:val="clear" w:color="auto" w:fill="auto"/>
            <w:noWrap/>
            <w:vAlign w:val="center"/>
            <w:hideMark/>
          </w:tcPr>
          <w:p w:rsidR="00C86D7D" w:rsidRPr="00947090" w:rsidRDefault="00BF2A71" w:rsidP="00947090">
            <w:pPr>
              <w:spacing w:after="0" w:line="312" w:lineRule="auto"/>
              <w:jc w:val="center"/>
              <w:rPr>
                <w:b/>
                <w:lang w:eastAsia="fr-FR"/>
              </w:rPr>
            </w:pPr>
            <w:r w:rsidRPr="00947090">
              <w:rPr>
                <w:b/>
                <w:bCs w:val="0"/>
                <w:sz w:val="22"/>
                <w:szCs w:val="22"/>
              </w:rPr>
              <w:t>13125,88</w:t>
            </w:r>
          </w:p>
        </w:tc>
        <w:tc>
          <w:tcPr>
            <w:tcW w:w="108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86D7D" w:rsidRPr="00947090" w:rsidRDefault="00BF2A71" w:rsidP="00947090">
            <w:pPr>
              <w:spacing w:after="0" w:line="312" w:lineRule="auto"/>
              <w:jc w:val="center"/>
              <w:rPr>
                <w:b/>
                <w:lang w:eastAsia="fr-FR"/>
              </w:rPr>
            </w:pPr>
            <w:r w:rsidRPr="00947090">
              <w:rPr>
                <w:b/>
                <w:bCs w:val="0"/>
                <w:sz w:val="22"/>
                <w:szCs w:val="22"/>
              </w:rPr>
              <w:t>100</w:t>
            </w:r>
          </w:p>
        </w:tc>
      </w:tr>
    </w:tbl>
    <w:p w:rsidR="00734095" w:rsidRPr="0044670F" w:rsidRDefault="00EA191C" w:rsidP="00EB2A62">
      <w:pPr>
        <w:spacing w:before="240" w:line="312" w:lineRule="auto"/>
        <w:rPr>
          <w:lang w:eastAsia="en-US"/>
        </w:rPr>
      </w:pPr>
      <w:r w:rsidRPr="0044670F">
        <w:rPr>
          <w:lang w:eastAsia="en-US"/>
        </w:rPr>
        <w:t>Les dépenses du VIH et du SID</w:t>
      </w:r>
      <w:r w:rsidR="00734095" w:rsidRPr="0044670F">
        <w:rPr>
          <w:lang w:eastAsia="en-US"/>
        </w:rPr>
        <w:t xml:space="preserve">A ont été mobilisées à travers </w:t>
      </w:r>
      <w:r w:rsidR="00BF2A71">
        <w:rPr>
          <w:lang w:eastAsia="en-US"/>
        </w:rPr>
        <w:t xml:space="preserve">trois </w:t>
      </w:r>
      <w:r w:rsidR="00734095" w:rsidRPr="0044670F">
        <w:rPr>
          <w:lang w:eastAsia="en-US"/>
        </w:rPr>
        <w:t xml:space="preserve"> régimes de fi</w:t>
      </w:r>
      <w:r w:rsidR="00E36A42" w:rsidRPr="0044670F">
        <w:rPr>
          <w:lang w:eastAsia="en-US"/>
        </w:rPr>
        <w:t>nancement de la santé seulement</w:t>
      </w:r>
      <w:r w:rsidR="002811F9">
        <w:rPr>
          <w:lang w:eastAsia="en-US"/>
        </w:rPr>
        <w:t> :</w:t>
      </w:r>
      <w:r w:rsidR="00734095" w:rsidRPr="0044670F">
        <w:rPr>
          <w:lang w:eastAsia="en-US"/>
        </w:rPr>
        <w:t>les régimes v</w:t>
      </w:r>
      <w:r w:rsidR="001B3201">
        <w:rPr>
          <w:lang w:eastAsia="en-US"/>
        </w:rPr>
        <w:t>olontaires de paiement privé</w:t>
      </w:r>
      <w:r w:rsidR="002811F9">
        <w:rPr>
          <w:lang w:eastAsia="en-US"/>
        </w:rPr>
        <w:t xml:space="preserve"> des soins de santé </w:t>
      </w:r>
      <w:r w:rsidR="00E36A42" w:rsidRPr="0044670F">
        <w:rPr>
          <w:lang w:eastAsia="en-US"/>
        </w:rPr>
        <w:t>pour</w:t>
      </w:r>
      <w:r w:rsidR="00BF2A71">
        <w:rPr>
          <w:lang w:eastAsia="en-US"/>
        </w:rPr>
        <w:t>77,17</w:t>
      </w:r>
      <w:r w:rsidR="00734095" w:rsidRPr="0044670F">
        <w:rPr>
          <w:lang w:eastAsia="en-US"/>
        </w:rPr>
        <w:t xml:space="preserve"> %</w:t>
      </w:r>
      <w:r w:rsidR="0054722C">
        <w:rPr>
          <w:lang w:eastAsia="en-US"/>
        </w:rPr>
        <w:t>,</w:t>
      </w:r>
      <w:r w:rsidR="0054722C" w:rsidRPr="0044670F">
        <w:rPr>
          <w:lang w:eastAsia="en-US"/>
        </w:rPr>
        <w:t xml:space="preserve">les régimes de l’administration publique et régimes contributifs obligatoires de financement de la santé pour </w:t>
      </w:r>
      <w:r w:rsidR="0054722C">
        <w:rPr>
          <w:lang w:eastAsia="en-US"/>
        </w:rPr>
        <w:t>22,72</w:t>
      </w:r>
      <w:r w:rsidR="0054722C" w:rsidRPr="0044670F">
        <w:rPr>
          <w:lang w:eastAsia="en-US"/>
        </w:rPr>
        <w:t>%</w:t>
      </w:r>
      <w:r w:rsidR="0054722C">
        <w:rPr>
          <w:lang w:eastAsia="en-US"/>
        </w:rPr>
        <w:t xml:space="preserve"> et le régime de financement du reste du monde (non</w:t>
      </w:r>
      <w:r w:rsidR="009E5F05">
        <w:rPr>
          <w:lang w:eastAsia="en-US"/>
        </w:rPr>
        <w:t>-</w:t>
      </w:r>
      <w:r w:rsidR="0054722C">
        <w:rPr>
          <w:lang w:eastAsia="en-US"/>
        </w:rPr>
        <w:t xml:space="preserve">résidents) </w:t>
      </w:r>
      <w:r w:rsidR="002811F9">
        <w:rPr>
          <w:lang w:eastAsia="en-US"/>
        </w:rPr>
        <w:t xml:space="preserve">pour </w:t>
      </w:r>
      <w:r w:rsidR="0054722C">
        <w:rPr>
          <w:lang w:eastAsia="en-US"/>
        </w:rPr>
        <w:t>0,11 % du total.</w:t>
      </w:r>
    </w:p>
    <w:p w:rsidR="00734095" w:rsidRPr="008D6109" w:rsidRDefault="00E14457" w:rsidP="00947090">
      <w:pPr>
        <w:pStyle w:val="Titre3"/>
        <w:ind w:left="1004" w:hanging="720"/>
        <w:rPr>
          <w:lang w:eastAsia="en-US"/>
        </w:rPr>
      </w:pPr>
      <w:bookmarkStart w:id="83" w:name="_Toc413941267"/>
      <w:r>
        <w:rPr>
          <w:lang w:eastAsia="en-US"/>
        </w:rPr>
        <w:t xml:space="preserve">6.2.3. </w:t>
      </w:r>
      <w:r w:rsidR="00734095" w:rsidRPr="008D6109">
        <w:rPr>
          <w:lang w:eastAsia="en-US"/>
        </w:rPr>
        <w:t xml:space="preserve">Dépenses </w:t>
      </w:r>
      <w:r w:rsidR="00E36A42" w:rsidRPr="008D6109">
        <w:rPr>
          <w:lang w:eastAsia="en-US"/>
        </w:rPr>
        <w:t>par</w:t>
      </w:r>
      <w:r w:rsidR="00734095" w:rsidRPr="008D6109">
        <w:rPr>
          <w:lang w:eastAsia="en-US"/>
        </w:rPr>
        <w:t xml:space="preserve"> agent de financement de la santé pour le </w:t>
      </w:r>
      <w:r w:rsidR="00E36A42" w:rsidRPr="008D6109">
        <w:rPr>
          <w:lang w:eastAsia="en-US"/>
        </w:rPr>
        <w:t>VIH et le SIDA</w:t>
      </w:r>
      <w:bookmarkEnd w:id="83"/>
    </w:p>
    <w:p w:rsidR="00BA4FCD" w:rsidRDefault="00734095" w:rsidP="00587784">
      <w:pPr>
        <w:spacing w:line="312" w:lineRule="auto"/>
        <w:rPr>
          <w:lang w:eastAsia="en-US"/>
        </w:rPr>
      </w:pPr>
      <w:r w:rsidRPr="0044670F">
        <w:rPr>
          <w:lang w:eastAsia="en-US"/>
        </w:rPr>
        <w:t xml:space="preserve">Le tableau  récapitule les dépenses </w:t>
      </w:r>
      <w:r w:rsidR="00E36A42" w:rsidRPr="0044670F">
        <w:rPr>
          <w:lang w:eastAsia="en-US"/>
        </w:rPr>
        <w:t>par</w:t>
      </w:r>
      <w:r w:rsidR="00B32172">
        <w:rPr>
          <w:lang w:eastAsia="en-US"/>
        </w:rPr>
        <w:t xml:space="preserve"> </w:t>
      </w:r>
      <w:r w:rsidRPr="0044670F">
        <w:rPr>
          <w:lang w:eastAsia="en-US"/>
        </w:rPr>
        <w:t>agent</w:t>
      </w:r>
      <w:r w:rsidR="00B32172">
        <w:rPr>
          <w:lang w:eastAsia="en-US"/>
        </w:rPr>
        <w:t xml:space="preserve"> </w:t>
      </w:r>
      <w:r w:rsidRPr="0044670F">
        <w:rPr>
          <w:lang w:eastAsia="en-US"/>
        </w:rPr>
        <w:t xml:space="preserve">de financement de la santé pour le </w:t>
      </w:r>
      <w:r w:rsidR="00E36A42" w:rsidRPr="0044670F">
        <w:rPr>
          <w:lang w:eastAsia="en-US"/>
        </w:rPr>
        <w:t>VIH et le SIDA</w:t>
      </w:r>
      <w:r w:rsidR="00BA4FCD">
        <w:rPr>
          <w:lang w:eastAsia="en-US"/>
        </w:rPr>
        <w:t>.</w:t>
      </w:r>
    </w:p>
    <w:p w:rsidR="009E5F05" w:rsidRPr="00947090" w:rsidRDefault="009E5F05" w:rsidP="00587784">
      <w:pPr>
        <w:spacing w:line="312" w:lineRule="auto"/>
        <w:rPr>
          <w:i/>
          <w:lang w:eastAsia="en-US"/>
        </w:rPr>
      </w:pPr>
      <w:bookmarkStart w:id="84" w:name="_Toc483991282"/>
      <w:r w:rsidRPr="00947090">
        <w:rPr>
          <w:i/>
          <w:color w:val="000000" w:themeColor="text1"/>
          <w:sz w:val="22"/>
          <w:szCs w:val="22"/>
        </w:rPr>
        <w:t xml:space="preserve">Tableau </w:t>
      </w:r>
      <w:r w:rsidR="00E72F8E" w:rsidRPr="00947090">
        <w:rPr>
          <w:i/>
          <w:color w:val="000000" w:themeColor="text1"/>
          <w:sz w:val="22"/>
          <w:szCs w:val="22"/>
        </w:rPr>
        <w:fldChar w:fldCharType="begin"/>
      </w:r>
      <w:r w:rsidRPr="00947090">
        <w:rPr>
          <w:i/>
          <w:color w:val="000000" w:themeColor="text1"/>
          <w:sz w:val="22"/>
          <w:szCs w:val="22"/>
        </w:rPr>
        <w:instrText xml:space="preserve"> STYLEREF 2 \s </w:instrText>
      </w:r>
      <w:r w:rsidR="00E72F8E" w:rsidRPr="00947090">
        <w:rPr>
          <w:i/>
          <w:color w:val="000000" w:themeColor="text1"/>
          <w:sz w:val="22"/>
          <w:szCs w:val="22"/>
        </w:rPr>
        <w:fldChar w:fldCharType="separate"/>
      </w:r>
      <w:r w:rsidRPr="00947090">
        <w:rPr>
          <w:i/>
          <w:noProof/>
          <w:color w:val="000000" w:themeColor="text1"/>
          <w:sz w:val="22"/>
          <w:szCs w:val="22"/>
        </w:rPr>
        <w:t>6.2</w:t>
      </w:r>
      <w:r w:rsidR="00E72F8E" w:rsidRPr="00947090">
        <w:rPr>
          <w:i/>
          <w:color w:val="000000" w:themeColor="text1"/>
          <w:sz w:val="22"/>
          <w:szCs w:val="22"/>
        </w:rPr>
        <w:fldChar w:fldCharType="end"/>
      </w:r>
      <w:r w:rsidRPr="00947090">
        <w:rPr>
          <w:i/>
          <w:color w:val="000000" w:themeColor="text1"/>
          <w:sz w:val="22"/>
          <w:szCs w:val="22"/>
        </w:rPr>
        <w:t>.</w:t>
      </w:r>
      <w:r w:rsidR="00E72F8E" w:rsidRPr="00947090">
        <w:rPr>
          <w:i/>
          <w:color w:val="000000" w:themeColor="text1"/>
          <w:sz w:val="22"/>
          <w:szCs w:val="22"/>
        </w:rPr>
        <w:fldChar w:fldCharType="begin"/>
      </w:r>
      <w:r w:rsidRPr="00947090">
        <w:rPr>
          <w:i/>
          <w:color w:val="000000" w:themeColor="text1"/>
          <w:sz w:val="22"/>
          <w:szCs w:val="22"/>
        </w:rPr>
        <w:instrText xml:space="preserve"> SEQ Tableau \* ARABIC \s 2 </w:instrText>
      </w:r>
      <w:r w:rsidR="00E72F8E" w:rsidRPr="00947090">
        <w:rPr>
          <w:i/>
          <w:color w:val="000000" w:themeColor="text1"/>
          <w:sz w:val="22"/>
          <w:szCs w:val="22"/>
        </w:rPr>
        <w:fldChar w:fldCharType="separate"/>
      </w:r>
      <w:r w:rsidRPr="00947090">
        <w:rPr>
          <w:i/>
          <w:noProof/>
          <w:color w:val="000000" w:themeColor="text1"/>
          <w:sz w:val="22"/>
          <w:szCs w:val="22"/>
        </w:rPr>
        <w:t>3</w:t>
      </w:r>
      <w:r w:rsidR="00E72F8E" w:rsidRPr="00947090">
        <w:rPr>
          <w:i/>
          <w:color w:val="000000" w:themeColor="text1"/>
          <w:sz w:val="22"/>
          <w:szCs w:val="22"/>
        </w:rPr>
        <w:fldChar w:fldCharType="end"/>
      </w:r>
      <w:r w:rsidRPr="00947090">
        <w:rPr>
          <w:i/>
          <w:color w:val="000000" w:themeColor="text1"/>
          <w:sz w:val="22"/>
          <w:szCs w:val="22"/>
          <w:lang w:eastAsia="en-US"/>
        </w:rPr>
        <w:t>: Dépenses par agents de financement de la santé pour le VIH et le SIDA (en million de francs CFA)</w:t>
      </w:r>
      <w:bookmarkEnd w:id="84"/>
    </w:p>
    <w:tbl>
      <w:tblPr>
        <w:tblW w:w="5382" w:type="pct"/>
        <w:tblLayout w:type="fixed"/>
        <w:tblCellMar>
          <w:left w:w="70" w:type="dxa"/>
          <w:right w:w="70" w:type="dxa"/>
        </w:tblCellMar>
        <w:tblLook w:val="04A0"/>
      </w:tblPr>
      <w:tblGrid>
        <w:gridCol w:w="1382"/>
        <w:gridCol w:w="1806"/>
        <w:gridCol w:w="1286"/>
        <w:gridCol w:w="1036"/>
        <w:gridCol w:w="1073"/>
        <w:gridCol w:w="995"/>
        <w:gridCol w:w="995"/>
        <w:gridCol w:w="997"/>
        <w:gridCol w:w="705"/>
      </w:tblGrid>
      <w:tr w:rsidR="009E5F05" w:rsidRPr="009E5F05" w:rsidTr="00750033">
        <w:trPr>
          <w:trHeight w:val="315"/>
          <w:tblHeader/>
        </w:trPr>
        <w:tc>
          <w:tcPr>
            <w:tcW w:w="2682" w:type="pct"/>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E5F05" w:rsidRPr="009E5F05" w:rsidRDefault="009E5F05" w:rsidP="009E5F05">
            <w:pPr>
              <w:autoSpaceDE/>
              <w:autoSpaceDN/>
              <w:adjustRightInd/>
              <w:spacing w:after="0" w:line="240" w:lineRule="auto"/>
              <w:jc w:val="center"/>
              <w:rPr>
                <w:rFonts w:eastAsia="Times New Roman"/>
                <w:b/>
                <w:lang w:eastAsia="fr-FR"/>
              </w:rPr>
            </w:pPr>
            <w:r w:rsidRPr="009E5F05">
              <w:rPr>
                <w:rFonts w:eastAsia="Times New Roman"/>
                <w:b/>
                <w:lang w:eastAsia="fr-FR"/>
              </w:rPr>
              <w:t>Agent de financement</w:t>
            </w:r>
          </w:p>
        </w:tc>
        <w:tc>
          <w:tcPr>
            <w:tcW w:w="1975" w:type="pct"/>
            <w:gridSpan w:val="4"/>
            <w:tcBorders>
              <w:top w:val="single" w:sz="8" w:space="0" w:color="auto"/>
              <w:left w:val="nil"/>
              <w:bottom w:val="single" w:sz="4" w:space="0" w:color="auto"/>
              <w:right w:val="single" w:sz="4" w:space="0" w:color="auto"/>
            </w:tcBorders>
            <w:shd w:val="clear" w:color="auto" w:fill="auto"/>
            <w:noWrap/>
            <w:vAlign w:val="bottom"/>
            <w:hideMark/>
          </w:tcPr>
          <w:p w:rsidR="009E5F05" w:rsidRPr="009E5F05" w:rsidRDefault="009E5F05" w:rsidP="009E5F05">
            <w:pPr>
              <w:autoSpaceDE/>
              <w:autoSpaceDN/>
              <w:adjustRightInd/>
              <w:spacing w:after="0" w:line="240" w:lineRule="auto"/>
              <w:jc w:val="center"/>
              <w:rPr>
                <w:rFonts w:eastAsia="Times New Roman"/>
                <w:b/>
                <w:lang w:eastAsia="fr-FR"/>
              </w:rPr>
            </w:pPr>
            <w:r w:rsidRPr="009E5F05">
              <w:rPr>
                <w:rFonts w:eastAsia="Times New Roman"/>
                <w:b/>
                <w:lang w:eastAsia="fr-FR"/>
              </w:rPr>
              <w:t>Dépenses</w:t>
            </w:r>
          </w:p>
        </w:tc>
        <w:tc>
          <w:tcPr>
            <w:tcW w:w="343" w:type="pct"/>
            <w:tcBorders>
              <w:top w:val="single" w:sz="8" w:space="0" w:color="auto"/>
              <w:left w:val="nil"/>
              <w:bottom w:val="single" w:sz="4" w:space="0" w:color="auto"/>
              <w:right w:val="single" w:sz="8"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ascii="Calibri" w:eastAsia="Times New Roman" w:hAnsi="Calibri"/>
                <w:b/>
                <w:lang w:eastAsia="fr-FR"/>
              </w:rPr>
            </w:pPr>
            <w:r w:rsidRPr="009E5F05">
              <w:rPr>
                <w:rFonts w:ascii="Calibri" w:eastAsia="Times New Roman" w:hAnsi="Calibri"/>
                <w:b/>
                <w:sz w:val="22"/>
                <w:szCs w:val="22"/>
                <w:lang w:eastAsia="fr-FR"/>
              </w:rPr>
              <w:t>%</w:t>
            </w:r>
          </w:p>
        </w:tc>
      </w:tr>
      <w:tr w:rsidR="009E5F05" w:rsidRPr="009E5F05" w:rsidTr="00750033">
        <w:trPr>
          <w:trHeight w:val="630"/>
        </w:trPr>
        <w:tc>
          <w:tcPr>
            <w:tcW w:w="673" w:type="pct"/>
            <w:vMerge w:val="restart"/>
            <w:tcBorders>
              <w:top w:val="nil"/>
              <w:left w:val="single" w:sz="8" w:space="0" w:color="auto"/>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left"/>
              <w:rPr>
                <w:rFonts w:eastAsia="Times New Roman"/>
                <w:b/>
                <w:lang w:eastAsia="fr-FR"/>
              </w:rPr>
            </w:pPr>
            <w:r w:rsidRPr="009E5F05">
              <w:rPr>
                <w:rFonts w:eastAsia="Times New Roman"/>
                <w:b/>
                <w:lang w:eastAsia="fr-FR"/>
              </w:rPr>
              <w:t>Administrations publiques</w:t>
            </w:r>
          </w:p>
        </w:tc>
        <w:tc>
          <w:tcPr>
            <w:tcW w:w="879" w:type="pct"/>
            <w:vMerge w:val="restart"/>
            <w:tcBorders>
              <w:top w:val="nil"/>
              <w:left w:val="single" w:sz="4" w:space="0" w:color="auto"/>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r w:rsidRPr="009E5F05">
              <w:rPr>
                <w:rFonts w:eastAsia="Times New Roman"/>
                <w:bCs w:val="0"/>
                <w:i/>
                <w:iCs/>
                <w:lang w:eastAsia="fr-FR"/>
              </w:rPr>
              <w:t>Administration centrale</w:t>
            </w:r>
          </w:p>
        </w:tc>
        <w:tc>
          <w:tcPr>
            <w:tcW w:w="626" w:type="pct"/>
            <w:tcBorders>
              <w:top w:val="nil"/>
              <w:left w:val="nil"/>
              <w:bottom w:val="single" w:sz="4" w:space="0" w:color="auto"/>
              <w:right w:val="single" w:sz="4" w:space="0" w:color="auto"/>
            </w:tcBorders>
            <w:shd w:val="clear" w:color="auto" w:fill="auto"/>
            <w:vAlign w:val="bottom"/>
            <w:hideMark/>
          </w:tcPr>
          <w:p w:rsidR="009E5F05" w:rsidRPr="009E5F05" w:rsidRDefault="009E5F05" w:rsidP="009E5F05">
            <w:pPr>
              <w:autoSpaceDE/>
              <w:autoSpaceDN/>
              <w:adjustRightInd/>
              <w:spacing w:after="0" w:line="240" w:lineRule="auto"/>
              <w:jc w:val="left"/>
              <w:rPr>
                <w:rFonts w:eastAsia="Times New Roman"/>
                <w:bCs w:val="0"/>
                <w:lang w:eastAsia="fr-FR"/>
              </w:rPr>
            </w:pPr>
            <w:r w:rsidRPr="009E5F05">
              <w:rPr>
                <w:rFonts w:eastAsia="Times New Roman"/>
                <w:bCs w:val="0"/>
                <w:lang w:eastAsia="fr-FR"/>
              </w:rPr>
              <w:t>Ministère de la santé</w:t>
            </w:r>
          </w:p>
        </w:tc>
        <w:tc>
          <w:tcPr>
            <w:tcW w:w="50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522"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i/>
                <w:iCs/>
                <w:lang w:eastAsia="fr-FR"/>
              </w:rPr>
            </w:pPr>
            <w:r w:rsidRPr="009E5F05">
              <w:rPr>
                <w:rFonts w:eastAsia="Times New Roman"/>
                <w:bCs w:val="0"/>
                <w:i/>
                <w:iCs/>
                <w:lang w:eastAsia="fr-FR"/>
              </w:rPr>
              <w:t>865,7</w:t>
            </w:r>
          </w:p>
        </w:tc>
        <w:tc>
          <w:tcPr>
            <w:tcW w:w="484" w:type="pct"/>
            <w:vMerge w:val="restart"/>
            <w:tcBorders>
              <w:top w:val="nil"/>
              <w:left w:val="single" w:sz="4" w:space="0" w:color="auto"/>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center"/>
              <w:rPr>
                <w:rFonts w:eastAsia="Times New Roman"/>
                <w:bCs w:val="0"/>
                <w:i/>
                <w:iCs/>
                <w:lang w:eastAsia="fr-FR"/>
              </w:rPr>
            </w:pPr>
            <w:r w:rsidRPr="009E5F05">
              <w:rPr>
                <w:rFonts w:eastAsia="Times New Roman"/>
                <w:bCs w:val="0"/>
                <w:i/>
                <w:iCs/>
                <w:lang w:eastAsia="fr-FR"/>
              </w:rPr>
              <w:t>2917,88</w:t>
            </w:r>
          </w:p>
        </w:tc>
        <w:tc>
          <w:tcPr>
            <w:tcW w:w="4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ascii="Calibri" w:eastAsia="Times New Roman" w:hAnsi="Calibri"/>
                <w:b/>
                <w:lang w:eastAsia="fr-FR"/>
              </w:rPr>
            </w:pPr>
            <w:r w:rsidRPr="009E5F05">
              <w:rPr>
                <w:rFonts w:ascii="Calibri" w:eastAsia="Times New Roman" w:hAnsi="Calibri"/>
                <w:b/>
                <w:sz w:val="22"/>
                <w:szCs w:val="22"/>
                <w:lang w:eastAsia="fr-FR"/>
              </w:rPr>
              <w:t>2918,63</w:t>
            </w:r>
          </w:p>
        </w:tc>
        <w:tc>
          <w:tcPr>
            <w:tcW w:w="343" w:type="pct"/>
            <w:vMerge w:val="restart"/>
            <w:tcBorders>
              <w:top w:val="nil"/>
              <w:left w:val="single" w:sz="4" w:space="0" w:color="auto"/>
              <w:bottom w:val="single" w:sz="4" w:space="0" w:color="auto"/>
              <w:right w:val="single" w:sz="8"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ascii="Calibri" w:eastAsia="Times New Roman" w:hAnsi="Calibri"/>
                <w:b/>
                <w:lang w:eastAsia="fr-FR"/>
              </w:rPr>
            </w:pPr>
            <w:r w:rsidRPr="009E5F05">
              <w:rPr>
                <w:rFonts w:ascii="Calibri" w:eastAsia="Times New Roman" w:hAnsi="Calibri"/>
                <w:b/>
                <w:sz w:val="22"/>
                <w:szCs w:val="22"/>
                <w:lang w:eastAsia="fr-FR"/>
              </w:rPr>
              <w:t xml:space="preserve">           22,24   </w:t>
            </w:r>
          </w:p>
        </w:tc>
      </w:tr>
      <w:tr w:rsidR="009E5F05" w:rsidRPr="009E5F05" w:rsidTr="00750033">
        <w:trPr>
          <w:trHeight w:val="945"/>
        </w:trPr>
        <w:tc>
          <w:tcPr>
            <w:tcW w:w="673" w:type="pct"/>
            <w:vMerge/>
            <w:tcBorders>
              <w:top w:val="nil"/>
              <w:left w:val="single" w:sz="8"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
                <w:lang w:eastAsia="fr-FR"/>
              </w:rPr>
            </w:pPr>
          </w:p>
        </w:tc>
        <w:tc>
          <w:tcPr>
            <w:tcW w:w="879"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626" w:type="pct"/>
            <w:vMerge w:val="restart"/>
            <w:tcBorders>
              <w:top w:val="nil"/>
              <w:left w:val="single" w:sz="4" w:space="0" w:color="auto"/>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left"/>
              <w:rPr>
                <w:rFonts w:eastAsia="Times New Roman"/>
                <w:bCs w:val="0"/>
                <w:lang w:eastAsia="fr-FR"/>
              </w:rPr>
            </w:pPr>
            <w:r w:rsidRPr="009E5F05">
              <w:rPr>
                <w:rFonts w:eastAsia="Times New Roman"/>
                <w:bCs w:val="0"/>
                <w:lang w:eastAsia="fr-FR"/>
              </w:rPr>
              <w:t>Autres Ministères</w:t>
            </w:r>
          </w:p>
        </w:tc>
        <w:tc>
          <w:tcPr>
            <w:tcW w:w="504" w:type="pct"/>
            <w:tcBorders>
              <w:top w:val="nil"/>
              <w:left w:val="nil"/>
              <w:bottom w:val="single" w:sz="4" w:space="0" w:color="auto"/>
              <w:right w:val="single" w:sz="4" w:space="0" w:color="auto"/>
            </w:tcBorders>
            <w:shd w:val="clear" w:color="auto" w:fill="auto"/>
            <w:vAlign w:val="bottom"/>
            <w:hideMark/>
          </w:tcPr>
          <w:p w:rsidR="009E5F05" w:rsidRPr="009E5F05" w:rsidRDefault="009E5F05" w:rsidP="009E5F05">
            <w:pPr>
              <w:autoSpaceDE/>
              <w:autoSpaceDN/>
              <w:adjustRightInd/>
              <w:spacing w:after="0" w:line="240" w:lineRule="auto"/>
              <w:jc w:val="left"/>
              <w:rPr>
                <w:rFonts w:eastAsia="Times New Roman"/>
                <w:bCs w:val="0"/>
                <w:lang w:eastAsia="fr-FR"/>
              </w:rPr>
            </w:pPr>
            <w:r w:rsidRPr="009E5F05">
              <w:rPr>
                <w:rFonts w:eastAsia="Times New Roman"/>
                <w:bCs w:val="0"/>
                <w:lang w:eastAsia="fr-FR"/>
              </w:rPr>
              <w:t>Ministère de la Défense</w:t>
            </w:r>
          </w:p>
        </w:tc>
        <w:tc>
          <w:tcPr>
            <w:tcW w:w="522"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13,01</w:t>
            </w:r>
          </w:p>
        </w:tc>
        <w:tc>
          <w:tcPr>
            <w:tcW w:w="484" w:type="pct"/>
            <w:vMerge w:val="restart"/>
            <w:tcBorders>
              <w:top w:val="nil"/>
              <w:left w:val="single" w:sz="4" w:space="0" w:color="auto"/>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center"/>
              <w:rPr>
                <w:rFonts w:eastAsia="Times New Roman"/>
                <w:bCs w:val="0"/>
                <w:i/>
                <w:iCs/>
                <w:lang w:eastAsia="fr-FR"/>
              </w:rPr>
            </w:pPr>
            <w:r w:rsidRPr="009E5F05">
              <w:rPr>
                <w:rFonts w:eastAsia="Times New Roman"/>
                <w:bCs w:val="0"/>
                <w:i/>
                <w:iCs/>
                <w:lang w:eastAsia="fr-FR"/>
              </w:rPr>
              <w:t>2 052,18</w:t>
            </w: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p>
        </w:tc>
        <w:tc>
          <w:tcPr>
            <w:tcW w:w="343" w:type="pct"/>
            <w:vMerge/>
            <w:tcBorders>
              <w:top w:val="nil"/>
              <w:left w:val="single" w:sz="4" w:space="0" w:color="auto"/>
              <w:bottom w:val="single" w:sz="4" w:space="0" w:color="auto"/>
              <w:right w:val="single" w:sz="8" w:space="0" w:color="auto"/>
            </w:tcBorders>
            <w:vAlign w:val="center"/>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p>
        </w:tc>
      </w:tr>
      <w:tr w:rsidR="009E5F05" w:rsidRPr="009E5F05" w:rsidTr="00750033">
        <w:trPr>
          <w:trHeight w:val="2205"/>
        </w:trPr>
        <w:tc>
          <w:tcPr>
            <w:tcW w:w="673" w:type="pct"/>
            <w:vMerge/>
            <w:tcBorders>
              <w:top w:val="nil"/>
              <w:left w:val="single" w:sz="8"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
                <w:lang w:eastAsia="fr-FR"/>
              </w:rPr>
            </w:pPr>
          </w:p>
        </w:tc>
        <w:tc>
          <w:tcPr>
            <w:tcW w:w="879"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626"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lang w:eastAsia="fr-FR"/>
              </w:rPr>
            </w:pPr>
          </w:p>
        </w:tc>
        <w:tc>
          <w:tcPr>
            <w:tcW w:w="504" w:type="pct"/>
            <w:tcBorders>
              <w:top w:val="nil"/>
              <w:left w:val="nil"/>
              <w:bottom w:val="single" w:sz="4" w:space="0" w:color="auto"/>
              <w:right w:val="single" w:sz="4" w:space="0" w:color="auto"/>
            </w:tcBorders>
            <w:shd w:val="clear" w:color="auto" w:fill="auto"/>
            <w:vAlign w:val="bottom"/>
            <w:hideMark/>
          </w:tcPr>
          <w:p w:rsidR="009E5F05" w:rsidRPr="009E5F05" w:rsidRDefault="009E5F05" w:rsidP="009E5F05">
            <w:pPr>
              <w:autoSpaceDE/>
              <w:autoSpaceDN/>
              <w:adjustRightInd/>
              <w:spacing w:after="0" w:line="240" w:lineRule="auto"/>
              <w:jc w:val="left"/>
              <w:rPr>
                <w:rFonts w:eastAsia="Times New Roman"/>
                <w:bCs w:val="0"/>
                <w:lang w:eastAsia="fr-FR"/>
              </w:rPr>
            </w:pPr>
            <w:r w:rsidRPr="009E5F05">
              <w:rPr>
                <w:rFonts w:eastAsia="Times New Roman"/>
                <w:bCs w:val="0"/>
                <w:lang w:eastAsia="fr-FR"/>
              </w:rPr>
              <w:t>Ministère de la Solidarité, des Affaires Sociales (MSAHRN)</w:t>
            </w:r>
          </w:p>
        </w:tc>
        <w:tc>
          <w:tcPr>
            <w:tcW w:w="522"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0</w:t>
            </w: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p>
        </w:tc>
        <w:tc>
          <w:tcPr>
            <w:tcW w:w="343" w:type="pct"/>
            <w:vMerge/>
            <w:tcBorders>
              <w:top w:val="nil"/>
              <w:left w:val="single" w:sz="4" w:space="0" w:color="auto"/>
              <w:bottom w:val="single" w:sz="4" w:space="0" w:color="auto"/>
              <w:right w:val="single" w:sz="8" w:space="0" w:color="auto"/>
            </w:tcBorders>
            <w:vAlign w:val="center"/>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p>
        </w:tc>
      </w:tr>
      <w:tr w:rsidR="009E5F05" w:rsidRPr="009E5F05" w:rsidTr="00750033">
        <w:trPr>
          <w:trHeight w:val="945"/>
        </w:trPr>
        <w:tc>
          <w:tcPr>
            <w:tcW w:w="673" w:type="pct"/>
            <w:vMerge/>
            <w:tcBorders>
              <w:top w:val="nil"/>
              <w:left w:val="single" w:sz="8"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
                <w:lang w:eastAsia="fr-FR"/>
              </w:rPr>
            </w:pPr>
          </w:p>
        </w:tc>
        <w:tc>
          <w:tcPr>
            <w:tcW w:w="879"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626"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lang w:eastAsia="fr-FR"/>
              </w:rPr>
            </w:pPr>
          </w:p>
        </w:tc>
        <w:tc>
          <w:tcPr>
            <w:tcW w:w="504" w:type="pct"/>
            <w:tcBorders>
              <w:top w:val="nil"/>
              <w:left w:val="nil"/>
              <w:bottom w:val="single" w:sz="4" w:space="0" w:color="auto"/>
              <w:right w:val="single" w:sz="4" w:space="0" w:color="auto"/>
            </w:tcBorders>
            <w:shd w:val="clear" w:color="auto" w:fill="auto"/>
            <w:vAlign w:val="bottom"/>
            <w:hideMark/>
          </w:tcPr>
          <w:p w:rsidR="009E5F05" w:rsidRPr="009E5F05" w:rsidRDefault="009E5F05" w:rsidP="009E5F05">
            <w:pPr>
              <w:autoSpaceDE/>
              <w:autoSpaceDN/>
              <w:adjustRightInd/>
              <w:spacing w:after="0" w:line="240" w:lineRule="auto"/>
              <w:jc w:val="left"/>
              <w:rPr>
                <w:rFonts w:eastAsia="Times New Roman"/>
                <w:bCs w:val="0"/>
                <w:lang w:eastAsia="fr-FR"/>
              </w:rPr>
            </w:pPr>
            <w:r w:rsidRPr="009E5F05">
              <w:rPr>
                <w:rFonts w:eastAsia="Times New Roman"/>
                <w:bCs w:val="0"/>
                <w:lang w:eastAsia="fr-FR"/>
              </w:rPr>
              <w:t>Présidence de la République</w:t>
            </w:r>
          </w:p>
        </w:tc>
        <w:tc>
          <w:tcPr>
            <w:tcW w:w="522"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2 038,30</w:t>
            </w: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p>
        </w:tc>
        <w:tc>
          <w:tcPr>
            <w:tcW w:w="343" w:type="pct"/>
            <w:vMerge/>
            <w:tcBorders>
              <w:top w:val="nil"/>
              <w:left w:val="single" w:sz="4" w:space="0" w:color="auto"/>
              <w:bottom w:val="single" w:sz="4" w:space="0" w:color="auto"/>
              <w:right w:val="single" w:sz="8" w:space="0" w:color="auto"/>
            </w:tcBorders>
            <w:vAlign w:val="center"/>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p>
        </w:tc>
      </w:tr>
      <w:tr w:rsidR="009E5F05" w:rsidRPr="009E5F05" w:rsidTr="00750033">
        <w:trPr>
          <w:trHeight w:val="945"/>
        </w:trPr>
        <w:tc>
          <w:tcPr>
            <w:tcW w:w="673" w:type="pct"/>
            <w:vMerge/>
            <w:tcBorders>
              <w:top w:val="nil"/>
              <w:left w:val="single" w:sz="8"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
                <w:lang w:eastAsia="fr-FR"/>
              </w:rPr>
            </w:pPr>
          </w:p>
        </w:tc>
        <w:tc>
          <w:tcPr>
            <w:tcW w:w="879"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626"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lang w:eastAsia="fr-FR"/>
              </w:rPr>
            </w:pPr>
          </w:p>
        </w:tc>
        <w:tc>
          <w:tcPr>
            <w:tcW w:w="504" w:type="pct"/>
            <w:tcBorders>
              <w:top w:val="nil"/>
              <w:left w:val="nil"/>
              <w:bottom w:val="single" w:sz="4" w:space="0" w:color="auto"/>
              <w:right w:val="single" w:sz="4" w:space="0" w:color="auto"/>
            </w:tcBorders>
            <w:shd w:val="clear" w:color="auto" w:fill="auto"/>
            <w:vAlign w:val="bottom"/>
            <w:hideMark/>
          </w:tcPr>
          <w:p w:rsidR="009E5F05" w:rsidRPr="009E5F05" w:rsidRDefault="009E5F05" w:rsidP="009E5F05">
            <w:pPr>
              <w:autoSpaceDE/>
              <w:autoSpaceDN/>
              <w:adjustRightInd/>
              <w:spacing w:after="0" w:line="240" w:lineRule="auto"/>
              <w:jc w:val="left"/>
              <w:rPr>
                <w:rFonts w:eastAsia="Times New Roman"/>
                <w:bCs w:val="0"/>
                <w:lang w:eastAsia="fr-FR"/>
              </w:rPr>
            </w:pPr>
            <w:r w:rsidRPr="009E5F05">
              <w:rPr>
                <w:rFonts w:eastAsia="Times New Roman"/>
                <w:bCs w:val="0"/>
                <w:lang w:eastAsia="fr-FR"/>
              </w:rPr>
              <w:t>Ministère des Affaires Etrangères</w:t>
            </w:r>
          </w:p>
        </w:tc>
        <w:tc>
          <w:tcPr>
            <w:tcW w:w="522"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0,87</w:t>
            </w: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p>
        </w:tc>
        <w:tc>
          <w:tcPr>
            <w:tcW w:w="343" w:type="pct"/>
            <w:vMerge/>
            <w:tcBorders>
              <w:top w:val="nil"/>
              <w:left w:val="single" w:sz="4" w:space="0" w:color="auto"/>
              <w:bottom w:val="single" w:sz="4" w:space="0" w:color="auto"/>
              <w:right w:val="single" w:sz="8" w:space="0" w:color="auto"/>
            </w:tcBorders>
            <w:vAlign w:val="center"/>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p>
        </w:tc>
      </w:tr>
      <w:tr w:rsidR="009E5F05" w:rsidRPr="009E5F05" w:rsidTr="00750033">
        <w:trPr>
          <w:trHeight w:val="945"/>
        </w:trPr>
        <w:tc>
          <w:tcPr>
            <w:tcW w:w="673" w:type="pct"/>
            <w:vMerge/>
            <w:tcBorders>
              <w:top w:val="nil"/>
              <w:left w:val="single" w:sz="8"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eastAsia="Times New Roman"/>
                <w:b/>
                <w:lang w:eastAsia="fr-FR"/>
              </w:rPr>
            </w:pPr>
          </w:p>
        </w:tc>
        <w:tc>
          <w:tcPr>
            <w:tcW w:w="879" w:type="pct"/>
            <w:tcBorders>
              <w:top w:val="nil"/>
              <w:left w:val="nil"/>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r w:rsidRPr="009E5F05">
              <w:rPr>
                <w:rFonts w:eastAsia="Times New Roman"/>
                <w:bCs w:val="0"/>
                <w:i/>
                <w:iCs/>
                <w:lang w:eastAsia="fr-FR"/>
              </w:rPr>
              <w:t>Administration provinciale/régionale/locale</w:t>
            </w:r>
          </w:p>
        </w:tc>
        <w:tc>
          <w:tcPr>
            <w:tcW w:w="626"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50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522"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i/>
                <w:iCs/>
                <w:lang w:eastAsia="fr-FR"/>
              </w:rPr>
            </w:pPr>
            <w:r w:rsidRPr="009E5F05">
              <w:rPr>
                <w:rFonts w:eastAsia="Times New Roman"/>
                <w:bCs w:val="0"/>
                <w:i/>
                <w:iCs/>
                <w:lang w:eastAsia="fr-FR"/>
              </w:rPr>
              <w:t> </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0,75</w:t>
            </w:r>
          </w:p>
        </w:tc>
        <w:tc>
          <w:tcPr>
            <w:tcW w:w="484" w:type="pct"/>
            <w:vMerge/>
            <w:tcBorders>
              <w:top w:val="nil"/>
              <w:left w:val="single" w:sz="4" w:space="0" w:color="auto"/>
              <w:bottom w:val="single" w:sz="4" w:space="0" w:color="auto"/>
              <w:right w:val="single" w:sz="4" w:space="0" w:color="auto"/>
            </w:tcBorders>
            <w:vAlign w:val="center"/>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p>
        </w:tc>
        <w:tc>
          <w:tcPr>
            <w:tcW w:w="343" w:type="pct"/>
            <w:vMerge/>
            <w:tcBorders>
              <w:top w:val="nil"/>
              <w:left w:val="single" w:sz="4" w:space="0" w:color="auto"/>
              <w:bottom w:val="single" w:sz="4" w:space="0" w:color="auto"/>
              <w:right w:val="single" w:sz="8" w:space="0" w:color="auto"/>
            </w:tcBorders>
            <w:vAlign w:val="center"/>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p>
        </w:tc>
      </w:tr>
      <w:tr w:rsidR="009E5F05" w:rsidRPr="009E5F05" w:rsidTr="00750033">
        <w:trPr>
          <w:trHeight w:val="1575"/>
        </w:trPr>
        <w:tc>
          <w:tcPr>
            <w:tcW w:w="673" w:type="pct"/>
            <w:tcBorders>
              <w:top w:val="nil"/>
              <w:left w:val="single" w:sz="8" w:space="0" w:color="auto"/>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left"/>
              <w:rPr>
                <w:rFonts w:eastAsia="Times New Roman"/>
                <w:b/>
                <w:lang w:eastAsia="fr-FR"/>
              </w:rPr>
            </w:pPr>
            <w:r w:rsidRPr="009E5F05">
              <w:rPr>
                <w:rFonts w:eastAsia="Times New Roman"/>
                <w:b/>
                <w:lang w:eastAsia="fr-FR"/>
              </w:rPr>
              <w:t>Sociétés (hors sociétés d'assurances) (part de HF.RI.1.2)</w:t>
            </w:r>
          </w:p>
        </w:tc>
        <w:tc>
          <w:tcPr>
            <w:tcW w:w="879" w:type="pct"/>
            <w:tcBorders>
              <w:top w:val="nil"/>
              <w:left w:val="nil"/>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r w:rsidRPr="009E5F05">
              <w:rPr>
                <w:rFonts w:eastAsia="Times New Roman"/>
                <w:bCs w:val="0"/>
                <w:i/>
                <w:iCs/>
                <w:lang w:eastAsia="fr-FR"/>
              </w:rPr>
              <w:t>Sociétés (hors prestataires de services de santé)</w:t>
            </w:r>
          </w:p>
        </w:tc>
        <w:tc>
          <w:tcPr>
            <w:tcW w:w="626"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50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522"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i/>
                <w:iCs/>
                <w:lang w:eastAsia="fr-FR"/>
              </w:rPr>
            </w:pPr>
            <w:r w:rsidRPr="009E5F05">
              <w:rPr>
                <w:rFonts w:eastAsia="Times New Roman"/>
                <w:bCs w:val="0"/>
                <w:i/>
                <w:iCs/>
                <w:lang w:eastAsia="fr-FR"/>
              </w:rPr>
              <w:t> </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7,08</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
                <w:lang w:eastAsia="fr-FR"/>
              </w:rPr>
            </w:pPr>
            <w:r w:rsidRPr="009E5F05">
              <w:rPr>
                <w:rFonts w:eastAsia="Times New Roman"/>
                <w:b/>
                <w:lang w:eastAsia="fr-FR"/>
              </w:rPr>
              <w:t>7,08</w:t>
            </w:r>
          </w:p>
        </w:tc>
        <w:tc>
          <w:tcPr>
            <w:tcW w:w="343" w:type="pct"/>
            <w:tcBorders>
              <w:top w:val="nil"/>
              <w:left w:val="nil"/>
              <w:bottom w:val="single" w:sz="4" w:space="0" w:color="auto"/>
              <w:right w:val="single" w:sz="8"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ascii="Calibri" w:eastAsia="Times New Roman" w:hAnsi="Calibri"/>
                <w:b/>
                <w:lang w:eastAsia="fr-FR"/>
              </w:rPr>
            </w:pPr>
            <w:r w:rsidRPr="009E5F05">
              <w:rPr>
                <w:rFonts w:ascii="Calibri" w:eastAsia="Times New Roman" w:hAnsi="Calibri"/>
                <w:b/>
                <w:sz w:val="22"/>
                <w:szCs w:val="22"/>
                <w:lang w:eastAsia="fr-FR"/>
              </w:rPr>
              <w:t xml:space="preserve">             0,05   </w:t>
            </w:r>
          </w:p>
        </w:tc>
      </w:tr>
      <w:tr w:rsidR="009E5F05" w:rsidRPr="009E5F05" w:rsidTr="00750033">
        <w:trPr>
          <w:trHeight w:val="1575"/>
        </w:trPr>
        <w:tc>
          <w:tcPr>
            <w:tcW w:w="673" w:type="pct"/>
            <w:tcBorders>
              <w:top w:val="nil"/>
              <w:left w:val="single" w:sz="8" w:space="0" w:color="auto"/>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left"/>
              <w:rPr>
                <w:rFonts w:eastAsia="Times New Roman"/>
                <w:b/>
                <w:lang w:eastAsia="fr-FR"/>
              </w:rPr>
            </w:pPr>
            <w:r w:rsidRPr="009E5F05">
              <w:rPr>
                <w:rFonts w:eastAsia="Times New Roman"/>
                <w:b/>
                <w:lang w:eastAsia="fr-FR"/>
              </w:rPr>
              <w:t>Institutions sans but lucratif au service des ménages (ISBLSM)</w:t>
            </w:r>
          </w:p>
        </w:tc>
        <w:tc>
          <w:tcPr>
            <w:tcW w:w="879"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r w:rsidRPr="009E5F05">
              <w:rPr>
                <w:rFonts w:eastAsia="Times New Roman"/>
                <w:bCs w:val="0"/>
                <w:i/>
                <w:iCs/>
                <w:lang w:eastAsia="fr-FR"/>
              </w:rPr>
              <w:t> </w:t>
            </w:r>
          </w:p>
        </w:tc>
        <w:tc>
          <w:tcPr>
            <w:tcW w:w="626" w:type="pct"/>
            <w:tcBorders>
              <w:top w:val="nil"/>
              <w:left w:val="nil"/>
              <w:bottom w:val="single" w:sz="4" w:space="0" w:color="auto"/>
              <w:right w:val="single" w:sz="4" w:space="0" w:color="auto"/>
            </w:tcBorders>
            <w:shd w:val="clear" w:color="auto" w:fill="auto"/>
            <w:noWrap/>
            <w:hideMark/>
          </w:tcPr>
          <w:p w:rsidR="009E5F05" w:rsidRPr="009E5F05" w:rsidRDefault="009E5F05" w:rsidP="009E5F05">
            <w:pPr>
              <w:autoSpaceDE/>
              <w:autoSpaceDN/>
              <w:adjustRightInd/>
              <w:spacing w:after="0" w:line="240" w:lineRule="auto"/>
              <w:jc w:val="right"/>
              <w:rPr>
                <w:rFonts w:eastAsia="Times New Roman"/>
                <w:bCs w:val="0"/>
                <w:lang w:eastAsia="fr-FR"/>
              </w:rPr>
            </w:pPr>
            <w:r w:rsidRPr="009E5F05">
              <w:rPr>
                <w:rFonts w:eastAsia="Times New Roman"/>
                <w:bCs w:val="0"/>
                <w:lang w:eastAsia="fr-FR"/>
              </w:rPr>
              <w:t> </w:t>
            </w:r>
          </w:p>
        </w:tc>
        <w:tc>
          <w:tcPr>
            <w:tcW w:w="504" w:type="pct"/>
            <w:tcBorders>
              <w:top w:val="nil"/>
              <w:left w:val="nil"/>
              <w:bottom w:val="single" w:sz="4" w:space="0" w:color="auto"/>
              <w:right w:val="single" w:sz="4" w:space="0" w:color="auto"/>
            </w:tcBorders>
            <w:shd w:val="clear" w:color="auto" w:fill="auto"/>
            <w:noWrap/>
            <w:hideMark/>
          </w:tcPr>
          <w:p w:rsidR="009E5F05" w:rsidRPr="009E5F05" w:rsidRDefault="009E5F05" w:rsidP="009E5F05">
            <w:pPr>
              <w:autoSpaceDE/>
              <w:autoSpaceDN/>
              <w:adjustRightInd/>
              <w:spacing w:after="0" w:line="240" w:lineRule="auto"/>
              <w:jc w:val="right"/>
              <w:rPr>
                <w:rFonts w:eastAsia="Times New Roman"/>
                <w:bCs w:val="0"/>
                <w:lang w:eastAsia="fr-FR"/>
              </w:rPr>
            </w:pPr>
            <w:r w:rsidRPr="009E5F05">
              <w:rPr>
                <w:rFonts w:eastAsia="Times New Roman"/>
                <w:bCs w:val="0"/>
                <w:lang w:eastAsia="fr-FR"/>
              </w:rPr>
              <w:t> </w:t>
            </w:r>
          </w:p>
        </w:tc>
        <w:tc>
          <w:tcPr>
            <w:tcW w:w="522" w:type="pct"/>
            <w:tcBorders>
              <w:top w:val="nil"/>
              <w:left w:val="nil"/>
              <w:bottom w:val="single" w:sz="4" w:space="0" w:color="auto"/>
              <w:right w:val="single" w:sz="4" w:space="0" w:color="auto"/>
            </w:tcBorders>
            <w:shd w:val="clear" w:color="auto" w:fill="auto"/>
            <w:noWrap/>
            <w:hideMark/>
          </w:tcPr>
          <w:p w:rsidR="009E5F05" w:rsidRPr="009E5F05" w:rsidRDefault="009E5F05" w:rsidP="009E5F05">
            <w:pPr>
              <w:autoSpaceDE/>
              <w:autoSpaceDN/>
              <w:adjustRightInd/>
              <w:spacing w:after="0" w:line="240" w:lineRule="auto"/>
              <w:jc w:val="right"/>
              <w:rPr>
                <w:rFonts w:eastAsia="Times New Roman"/>
                <w:bCs w:val="0"/>
                <w:lang w:eastAsia="fr-FR"/>
              </w:rPr>
            </w:pPr>
            <w:r w:rsidRPr="009E5F05">
              <w:rPr>
                <w:rFonts w:eastAsia="Times New Roman"/>
                <w:bCs w:val="0"/>
                <w:lang w:eastAsia="fr-FR"/>
              </w:rPr>
              <w:t> </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right"/>
              <w:rPr>
                <w:rFonts w:eastAsia="Times New Roman"/>
                <w:bCs w:val="0"/>
                <w:i/>
                <w:iCs/>
                <w:lang w:eastAsia="fr-FR"/>
              </w:rPr>
            </w:pPr>
            <w:r w:rsidRPr="009E5F05">
              <w:rPr>
                <w:rFonts w:eastAsia="Times New Roman"/>
                <w:bCs w:val="0"/>
                <w:i/>
                <w:iCs/>
                <w:lang w:eastAsia="fr-FR"/>
              </w:rPr>
              <w:t> </w:t>
            </w:r>
          </w:p>
        </w:tc>
        <w:tc>
          <w:tcPr>
            <w:tcW w:w="484" w:type="pct"/>
            <w:tcBorders>
              <w:top w:val="nil"/>
              <w:left w:val="nil"/>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
                <w:lang w:eastAsia="fr-FR"/>
              </w:rPr>
            </w:pPr>
            <w:r w:rsidRPr="009E5F05">
              <w:rPr>
                <w:rFonts w:eastAsia="Times New Roman"/>
                <w:b/>
                <w:lang w:eastAsia="fr-FR"/>
              </w:rPr>
              <w:t>10 185,90</w:t>
            </w:r>
          </w:p>
        </w:tc>
        <w:tc>
          <w:tcPr>
            <w:tcW w:w="343" w:type="pct"/>
            <w:tcBorders>
              <w:top w:val="nil"/>
              <w:left w:val="nil"/>
              <w:bottom w:val="single" w:sz="4" w:space="0" w:color="auto"/>
              <w:right w:val="single" w:sz="8"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ascii="Calibri" w:eastAsia="Times New Roman" w:hAnsi="Calibri"/>
                <w:b/>
                <w:lang w:eastAsia="fr-FR"/>
              </w:rPr>
            </w:pPr>
            <w:r w:rsidRPr="009E5F05">
              <w:rPr>
                <w:rFonts w:ascii="Calibri" w:eastAsia="Times New Roman" w:hAnsi="Calibri"/>
                <w:b/>
                <w:sz w:val="22"/>
                <w:szCs w:val="22"/>
                <w:lang w:eastAsia="fr-FR"/>
              </w:rPr>
              <w:t xml:space="preserve">           77,60   </w:t>
            </w:r>
          </w:p>
        </w:tc>
      </w:tr>
      <w:tr w:rsidR="009E5F05" w:rsidRPr="009E5F05" w:rsidTr="00750033">
        <w:trPr>
          <w:trHeight w:val="630"/>
        </w:trPr>
        <w:tc>
          <w:tcPr>
            <w:tcW w:w="673" w:type="pct"/>
            <w:tcBorders>
              <w:top w:val="nil"/>
              <w:left w:val="single" w:sz="8" w:space="0" w:color="auto"/>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left"/>
              <w:rPr>
                <w:rFonts w:eastAsia="Times New Roman"/>
                <w:b/>
                <w:lang w:eastAsia="fr-FR"/>
              </w:rPr>
            </w:pPr>
            <w:r w:rsidRPr="009E5F05">
              <w:rPr>
                <w:rFonts w:eastAsia="Times New Roman"/>
                <w:b/>
                <w:lang w:eastAsia="fr-FR"/>
              </w:rPr>
              <w:t>Reste du monde</w:t>
            </w:r>
          </w:p>
        </w:tc>
        <w:tc>
          <w:tcPr>
            <w:tcW w:w="879" w:type="pct"/>
            <w:tcBorders>
              <w:top w:val="nil"/>
              <w:left w:val="nil"/>
              <w:bottom w:val="single" w:sz="4" w:space="0" w:color="auto"/>
              <w:right w:val="single" w:sz="4" w:space="0" w:color="auto"/>
            </w:tcBorders>
            <w:shd w:val="clear" w:color="auto" w:fill="auto"/>
            <w:vAlign w:val="center"/>
            <w:hideMark/>
          </w:tcPr>
          <w:p w:rsidR="009E5F05" w:rsidRPr="009E5F05" w:rsidRDefault="009E5F05" w:rsidP="009E5F05">
            <w:pPr>
              <w:autoSpaceDE/>
              <w:autoSpaceDN/>
              <w:adjustRightInd/>
              <w:spacing w:after="0" w:line="240" w:lineRule="auto"/>
              <w:jc w:val="left"/>
              <w:rPr>
                <w:rFonts w:eastAsia="Times New Roman"/>
                <w:bCs w:val="0"/>
                <w:i/>
                <w:iCs/>
                <w:lang w:eastAsia="fr-FR"/>
              </w:rPr>
            </w:pPr>
            <w:r w:rsidRPr="009E5F05">
              <w:rPr>
                <w:rFonts w:eastAsia="Times New Roman"/>
                <w:bCs w:val="0"/>
                <w:i/>
                <w:iCs/>
                <w:lang w:eastAsia="fr-FR"/>
              </w:rPr>
              <w:t>Organisations internationales</w:t>
            </w:r>
          </w:p>
        </w:tc>
        <w:tc>
          <w:tcPr>
            <w:tcW w:w="626"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50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522"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 </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i/>
                <w:iCs/>
                <w:lang w:eastAsia="fr-FR"/>
              </w:rPr>
            </w:pPr>
            <w:r w:rsidRPr="009E5F05">
              <w:rPr>
                <w:rFonts w:eastAsia="Times New Roman"/>
                <w:bCs w:val="0"/>
                <w:i/>
                <w:iCs/>
                <w:lang w:eastAsia="fr-FR"/>
              </w:rPr>
              <w:t> </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Cs w:val="0"/>
                <w:lang w:eastAsia="fr-FR"/>
              </w:rPr>
            </w:pPr>
            <w:r w:rsidRPr="009E5F05">
              <w:rPr>
                <w:rFonts w:eastAsia="Times New Roman"/>
                <w:bCs w:val="0"/>
                <w:lang w:eastAsia="fr-FR"/>
              </w:rPr>
              <w:t>14,27</w:t>
            </w:r>
          </w:p>
        </w:tc>
        <w:tc>
          <w:tcPr>
            <w:tcW w:w="484" w:type="pct"/>
            <w:tcBorders>
              <w:top w:val="nil"/>
              <w:left w:val="nil"/>
              <w:bottom w:val="single" w:sz="4"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
                <w:lang w:eastAsia="fr-FR"/>
              </w:rPr>
            </w:pPr>
            <w:r w:rsidRPr="009E5F05">
              <w:rPr>
                <w:rFonts w:eastAsia="Times New Roman"/>
                <w:b/>
                <w:lang w:eastAsia="fr-FR"/>
              </w:rPr>
              <w:t>14,27</w:t>
            </w:r>
          </w:p>
        </w:tc>
        <w:tc>
          <w:tcPr>
            <w:tcW w:w="343" w:type="pct"/>
            <w:tcBorders>
              <w:top w:val="nil"/>
              <w:left w:val="nil"/>
              <w:bottom w:val="single" w:sz="4" w:space="0" w:color="auto"/>
              <w:right w:val="single" w:sz="8"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ascii="Calibri" w:eastAsia="Times New Roman" w:hAnsi="Calibri"/>
                <w:b/>
                <w:lang w:eastAsia="fr-FR"/>
              </w:rPr>
            </w:pPr>
            <w:r w:rsidRPr="009E5F05">
              <w:rPr>
                <w:rFonts w:ascii="Calibri" w:eastAsia="Times New Roman" w:hAnsi="Calibri"/>
                <w:b/>
                <w:sz w:val="22"/>
                <w:szCs w:val="22"/>
                <w:lang w:eastAsia="fr-FR"/>
              </w:rPr>
              <w:t xml:space="preserve">             0,11   </w:t>
            </w:r>
          </w:p>
        </w:tc>
      </w:tr>
      <w:tr w:rsidR="009E5F05" w:rsidRPr="009E5F05" w:rsidTr="00750033">
        <w:trPr>
          <w:trHeight w:val="330"/>
        </w:trPr>
        <w:tc>
          <w:tcPr>
            <w:tcW w:w="673" w:type="pct"/>
            <w:tcBorders>
              <w:top w:val="nil"/>
              <w:left w:val="single" w:sz="8" w:space="0" w:color="auto"/>
              <w:bottom w:val="single" w:sz="8"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left"/>
              <w:rPr>
                <w:rFonts w:eastAsia="Times New Roman"/>
                <w:b/>
                <w:lang w:eastAsia="fr-FR"/>
              </w:rPr>
            </w:pPr>
            <w:r w:rsidRPr="009E5F05">
              <w:rPr>
                <w:rFonts w:eastAsia="Times New Roman"/>
                <w:b/>
                <w:lang w:eastAsia="fr-FR"/>
              </w:rPr>
              <w:t>Total</w:t>
            </w:r>
          </w:p>
        </w:tc>
        <w:tc>
          <w:tcPr>
            <w:tcW w:w="879" w:type="pct"/>
            <w:tcBorders>
              <w:top w:val="nil"/>
              <w:left w:val="nil"/>
              <w:bottom w:val="single" w:sz="8"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
                <w:i/>
                <w:iCs/>
                <w:lang w:eastAsia="fr-FR"/>
              </w:rPr>
            </w:pPr>
            <w:r w:rsidRPr="009E5F05">
              <w:rPr>
                <w:rFonts w:eastAsia="Times New Roman"/>
                <w:b/>
                <w:i/>
                <w:iCs/>
                <w:lang w:eastAsia="fr-FR"/>
              </w:rPr>
              <w:t> </w:t>
            </w:r>
          </w:p>
        </w:tc>
        <w:tc>
          <w:tcPr>
            <w:tcW w:w="626" w:type="pct"/>
            <w:tcBorders>
              <w:top w:val="nil"/>
              <w:left w:val="nil"/>
              <w:bottom w:val="single" w:sz="8"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
                <w:lang w:eastAsia="fr-FR"/>
              </w:rPr>
            </w:pPr>
            <w:r w:rsidRPr="009E5F05">
              <w:rPr>
                <w:rFonts w:eastAsia="Times New Roman"/>
                <w:b/>
                <w:lang w:eastAsia="fr-FR"/>
              </w:rPr>
              <w:t> </w:t>
            </w:r>
          </w:p>
        </w:tc>
        <w:tc>
          <w:tcPr>
            <w:tcW w:w="504" w:type="pct"/>
            <w:tcBorders>
              <w:top w:val="nil"/>
              <w:left w:val="nil"/>
              <w:bottom w:val="single" w:sz="8"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
                <w:lang w:eastAsia="fr-FR"/>
              </w:rPr>
            </w:pPr>
            <w:r w:rsidRPr="009E5F05">
              <w:rPr>
                <w:rFonts w:eastAsia="Times New Roman"/>
                <w:b/>
                <w:lang w:eastAsia="fr-FR"/>
              </w:rPr>
              <w:t> </w:t>
            </w:r>
          </w:p>
        </w:tc>
        <w:tc>
          <w:tcPr>
            <w:tcW w:w="522" w:type="pct"/>
            <w:tcBorders>
              <w:top w:val="nil"/>
              <w:left w:val="nil"/>
              <w:bottom w:val="single" w:sz="8"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
                <w:lang w:eastAsia="fr-FR"/>
              </w:rPr>
            </w:pPr>
            <w:r w:rsidRPr="009E5F05">
              <w:rPr>
                <w:rFonts w:eastAsia="Times New Roman"/>
                <w:b/>
                <w:lang w:eastAsia="fr-FR"/>
              </w:rPr>
              <w:t> </w:t>
            </w:r>
          </w:p>
        </w:tc>
        <w:tc>
          <w:tcPr>
            <w:tcW w:w="484" w:type="pct"/>
            <w:tcBorders>
              <w:top w:val="nil"/>
              <w:left w:val="nil"/>
              <w:bottom w:val="single" w:sz="8"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
                <w:i/>
                <w:iCs/>
                <w:lang w:eastAsia="fr-FR"/>
              </w:rPr>
            </w:pPr>
            <w:r w:rsidRPr="009E5F05">
              <w:rPr>
                <w:rFonts w:eastAsia="Times New Roman"/>
                <w:b/>
                <w:i/>
                <w:iCs/>
                <w:lang w:eastAsia="fr-FR"/>
              </w:rPr>
              <w:t> </w:t>
            </w:r>
          </w:p>
        </w:tc>
        <w:tc>
          <w:tcPr>
            <w:tcW w:w="484" w:type="pct"/>
            <w:tcBorders>
              <w:top w:val="nil"/>
              <w:left w:val="nil"/>
              <w:bottom w:val="single" w:sz="8" w:space="0" w:color="auto"/>
              <w:right w:val="single" w:sz="4" w:space="0" w:color="auto"/>
            </w:tcBorders>
            <w:shd w:val="clear" w:color="auto" w:fill="auto"/>
            <w:noWrap/>
            <w:vAlign w:val="center"/>
            <w:hideMark/>
          </w:tcPr>
          <w:p w:rsidR="009E5F05" w:rsidRPr="009E5F05" w:rsidRDefault="009E5F05" w:rsidP="009E5F05">
            <w:pPr>
              <w:autoSpaceDE/>
              <w:autoSpaceDN/>
              <w:adjustRightInd/>
              <w:spacing w:after="0" w:line="240" w:lineRule="auto"/>
              <w:jc w:val="center"/>
              <w:rPr>
                <w:rFonts w:eastAsia="Times New Roman"/>
                <w:b/>
                <w:lang w:eastAsia="fr-FR"/>
              </w:rPr>
            </w:pPr>
            <w:r w:rsidRPr="009E5F05">
              <w:rPr>
                <w:rFonts w:eastAsia="Times New Roman"/>
                <w:b/>
                <w:lang w:eastAsia="fr-FR"/>
              </w:rPr>
              <w:t> </w:t>
            </w:r>
          </w:p>
        </w:tc>
        <w:tc>
          <w:tcPr>
            <w:tcW w:w="484" w:type="pct"/>
            <w:tcBorders>
              <w:top w:val="nil"/>
              <w:left w:val="nil"/>
              <w:bottom w:val="single" w:sz="8" w:space="0" w:color="auto"/>
              <w:right w:val="single" w:sz="4" w:space="0" w:color="auto"/>
            </w:tcBorders>
            <w:shd w:val="clear" w:color="auto" w:fill="auto"/>
            <w:noWrap/>
            <w:vAlign w:val="bottom"/>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r w:rsidRPr="009E5F05">
              <w:rPr>
                <w:rFonts w:ascii="Calibri" w:eastAsia="Times New Roman" w:hAnsi="Calibri"/>
                <w:b/>
                <w:sz w:val="22"/>
                <w:szCs w:val="22"/>
                <w:lang w:eastAsia="fr-FR"/>
              </w:rPr>
              <w:t xml:space="preserve">    13 125,88   </w:t>
            </w:r>
          </w:p>
        </w:tc>
        <w:tc>
          <w:tcPr>
            <w:tcW w:w="343" w:type="pct"/>
            <w:tcBorders>
              <w:top w:val="nil"/>
              <w:left w:val="nil"/>
              <w:bottom w:val="single" w:sz="8" w:space="0" w:color="auto"/>
              <w:right w:val="single" w:sz="8" w:space="0" w:color="auto"/>
            </w:tcBorders>
            <w:shd w:val="clear" w:color="auto" w:fill="auto"/>
            <w:noWrap/>
            <w:vAlign w:val="bottom"/>
            <w:hideMark/>
          </w:tcPr>
          <w:p w:rsidR="009E5F05" w:rsidRPr="009E5F05" w:rsidRDefault="009E5F05" w:rsidP="009E5F05">
            <w:pPr>
              <w:autoSpaceDE/>
              <w:autoSpaceDN/>
              <w:adjustRightInd/>
              <w:spacing w:after="0" w:line="240" w:lineRule="auto"/>
              <w:jc w:val="left"/>
              <w:rPr>
                <w:rFonts w:ascii="Calibri" w:eastAsia="Times New Roman" w:hAnsi="Calibri"/>
                <w:b/>
                <w:lang w:eastAsia="fr-FR"/>
              </w:rPr>
            </w:pPr>
            <w:r w:rsidRPr="009E5F05">
              <w:rPr>
                <w:rFonts w:ascii="Calibri" w:eastAsia="Times New Roman" w:hAnsi="Calibri"/>
                <w:b/>
                <w:sz w:val="22"/>
                <w:szCs w:val="22"/>
                <w:lang w:eastAsia="fr-FR"/>
              </w:rPr>
              <w:t xml:space="preserve">         100,00   </w:t>
            </w:r>
          </w:p>
        </w:tc>
      </w:tr>
    </w:tbl>
    <w:p w:rsidR="00734095" w:rsidRPr="0044670F" w:rsidRDefault="00734095" w:rsidP="00EB2A62">
      <w:pPr>
        <w:spacing w:before="240" w:line="312" w:lineRule="auto"/>
        <w:rPr>
          <w:lang w:eastAsia="en-US"/>
        </w:rPr>
      </w:pPr>
      <w:r w:rsidRPr="0044670F">
        <w:rPr>
          <w:lang w:eastAsia="en-US"/>
        </w:rPr>
        <w:t xml:space="preserve">Les dépenses de santé du </w:t>
      </w:r>
      <w:r w:rsidR="00E36A42" w:rsidRPr="0044670F">
        <w:rPr>
          <w:lang w:eastAsia="en-US"/>
        </w:rPr>
        <w:t xml:space="preserve">VIH </w:t>
      </w:r>
      <w:r w:rsidR="00CD3333" w:rsidRPr="0044670F">
        <w:rPr>
          <w:lang w:eastAsia="en-US"/>
        </w:rPr>
        <w:t>et du</w:t>
      </w:r>
      <w:r w:rsidR="00E36A42" w:rsidRPr="0044670F">
        <w:rPr>
          <w:lang w:eastAsia="en-US"/>
        </w:rPr>
        <w:t xml:space="preserve"> SIDA</w:t>
      </w:r>
      <w:r w:rsidRPr="0044670F">
        <w:rPr>
          <w:lang w:eastAsia="en-US"/>
        </w:rPr>
        <w:t xml:space="preserve"> ont été gérées essentiellement par </w:t>
      </w:r>
      <w:r w:rsidR="004108F2">
        <w:rPr>
          <w:lang w:eastAsia="en-US"/>
        </w:rPr>
        <w:t xml:space="preserve">les institutions à but non lucratif aux services des ménages </w:t>
      </w:r>
      <w:r w:rsidRPr="0044670F">
        <w:rPr>
          <w:lang w:eastAsia="en-US"/>
        </w:rPr>
        <w:t xml:space="preserve"> pour 7</w:t>
      </w:r>
      <w:r w:rsidR="004108F2">
        <w:rPr>
          <w:lang w:eastAsia="en-US"/>
        </w:rPr>
        <w:t>7</w:t>
      </w:r>
      <w:r w:rsidRPr="0044670F">
        <w:rPr>
          <w:lang w:eastAsia="en-US"/>
        </w:rPr>
        <w:t>,6</w:t>
      </w:r>
      <w:r w:rsidR="004108F2">
        <w:rPr>
          <w:lang w:eastAsia="en-US"/>
        </w:rPr>
        <w:t>0</w:t>
      </w:r>
      <w:r w:rsidRPr="0044670F">
        <w:rPr>
          <w:lang w:eastAsia="en-US"/>
        </w:rPr>
        <w:t xml:space="preserve"> % des dépenses</w:t>
      </w:r>
      <w:r w:rsidR="004108F2">
        <w:rPr>
          <w:lang w:eastAsia="en-US"/>
        </w:rPr>
        <w:t>. L</w:t>
      </w:r>
      <w:r w:rsidR="00BE086D">
        <w:rPr>
          <w:lang w:eastAsia="en-US"/>
        </w:rPr>
        <w:t>es fonds gérés par la Présidence de la Républ</w:t>
      </w:r>
      <w:r w:rsidR="00A36FFB">
        <w:rPr>
          <w:lang w:eastAsia="en-US"/>
        </w:rPr>
        <w:t>i</w:t>
      </w:r>
      <w:r w:rsidR="00BE086D">
        <w:rPr>
          <w:lang w:eastAsia="en-US"/>
        </w:rPr>
        <w:t xml:space="preserve">que à travers </w:t>
      </w:r>
      <w:r w:rsidR="008A038B" w:rsidRPr="0044670F">
        <w:rPr>
          <w:lang w:eastAsia="en-US"/>
        </w:rPr>
        <w:t xml:space="preserve"> par le Haut Conseil de Lutte contre le Sida </w:t>
      </w:r>
      <w:r w:rsidR="00A36FFB">
        <w:rPr>
          <w:lang w:eastAsia="en-US"/>
        </w:rPr>
        <w:t>représentent</w:t>
      </w:r>
      <w:r w:rsidR="00BE086D">
        <w:rPr>
          <w:lang w:eastAsia="en-US"/>
        </w:rPr>
        <w:t xml:space="preserve"> 15,53 % du total des dépenses.</w:t>
      </w:r>
      <w:r w:rsidR="00B32172">
        <w:rPr>
          <w:lang w:eastAsia="en-US"/>
        </w:rPr>
        <w:t xml:space="preserve"> </w:t>
      </w:r>
      <w:r w:rsidR="00BE086D">
        <w:rPr>
          <w:lang w:eastAsia="en-US"/>
        </w:rPr>
        <w:t>Le ministère de la santé n’a géré que 6,60 % des dépenses de lutte contre le VIH/Sida</w:t>
      </w:r>
      <w:r w:rsidR="000045E6">
        <w:rPr>
          <w:lang w:eastAsia="en-US"/>
        </w:rPr>
        <w:t>.</w:t>
      </w:r>
    </w:p>
    <w:p w:rsidR="00734095" w:rsidRPr="004B1718" w:rsidRDefault="00E14457" w:rsidP="00947090">
      <w:pPr>
        <w:pStyle w:val="Titre3"/>
        <w:ind w:left="1004" w:hanging="720"/>
        <w:rPr>
          <w:lang w:eastAsia="en-US"/>
        </w:rPr>
      </w:pPr>
      <w:bookmarkStart w:id="85" w:name="_Toc413941268"/>
      <w:r>
        <w:rPr>
          <w:lang w:eastAsia="en-US"/>
        </w:rPr>
        <w:t xml:space="preserve">6.2.4. </w:t>
      </w:r>
      <w:r w:rsidR="00734095" w:rsidRPr="004B1718">
        <w:rPr>
          <w:lang w:eastAsia="en-US"/>
        </w:rPr>
        <w:t xml:space="preserve">Dépenses </w:t>
      </w:r>
      <w:r w:rsidR="00CD3333" w:rsidRPr="004B1718">
        <w:rPr>
          <w:lang w:eastAsia="en-US"/>
        </w:rPr>
        <w:t>par</w:t>
      </w:r>
      <w:r w:rsidR="00734095" w:rsidRPr="004B1718">
        <w:rPr>
          <w:lang w:eastAsia="en-US"/>
        </w:rPr>
        <w:t xml:space="preserve"> prestataires de soins de santé pour le </w:t>
      </w:r>
      <w:r w:rsidR="00E36A42" w:rsidRPr="004B1718">
        <w:rPr>
          <w:lang w:eastAsia="en-US"/>
        </w:rPr>
        <w:t xml:space="preserve">VIH </w:t>
      </w:r>
      <w:r w:rsidR="00CD3333" w:rsidRPr="004B1718">
        <w:rPr>
          <w:lang w:eastAsia="en-US"/>
        </w:rPr>
        <w:t>et du</w:t>
      </w:r>
      <w:r w:rsidR="00E36A42" w:rsidRPr="004B1718">
        <w:rPr>
          <w:lang w:eastAsia="en-US"/>
        </w:rPr>
        <w:t xml:space="preserve"> SIDA</w:t>
      </w:r>
      <w:bookmarkEnd w:id="85"/>
    </w:p>
    <w:p w:rsidR="00BA4FCD" w:rsidRDefault="00734095" w:rsidP="00D90EBA">
      <w:pPr>
        <w:rPr>
          <w:lang w:eastAsia="en-US"/>
        </w:rPr>
      </w:pPr>
      <w:r w:rsidRPr="0044670F">
        <w:rPr>
          <w:lang w:eastAsia="en-US"/>
        </w:rPr>
        <w:t xml:space="preserve">Les dépenses </w:t>
      </w:r>
      <w:r w:rsidR="00CD3333" w:rsidRPr="0044670F">
        <w:rPr>
          <w:lang w:eastAsia="en-US"/>
        </w:rPr>
        <w:t>par</w:t>
      </w:r>
      <w:r w:rsidRPr="0044670F">
        <w:rPr>
          <w:lang w:eastAsia="en-US"/>
        </w:rPr>
        <w:t xml:space="preserve"> prestataires des soins de santé pour le </w:t>
      </w:r>
      <w:r w:rsidR="00E36A42" w:rsidRPr="0044670F">
        <w:rPr>
          <w:lang w:eastAsia="en-US"/>
        </w:rPr>
        <w:t xml:space="preserve">VIH </w:t>
      </w:r>
      <w:r w:rsidR="00CD3333" w:rsidRPr="0044670F">
        <w:rPr>
          <w:lang w:eastAsia="en-US"/>
        </w:rPr>
        <w:t>et le</w:t>
      </w:r>
      <w:r w:rsidR="00E36A42" w:rsidRPr="0044670F">
        <w:rPr>
          <w:lang w:eastAsia="en-US"/>
        </w:rPr>
        <w:t xml:space="preserve"> SIDA</w:t>
      </w:r>
      <w:r w:rsidRPr="0044670F">
        <w:rPr>
          <w:lang w:eastAsia="en-US"/>
        </w:rPr>
        <w:t xml:space="preserve"> sont récapitulées dans le tableau</w:t>
      </w:r>
      <w:r w:rsidR="00D90EBA">
        <w:rPr>
          <w:lang w:eastAsia="en-US"/>
        </w:rPr>
        <w:t>6.2.4</w:t>
      </w:r>
      <w:r w:rsidR="00BA4FCD">
        <w:rPr>
          <w:lang w:eastAsia="en-US"/>
        </w:rPr>
        <w:t>.</w:t>
      </w:r>
    </w:p>
    <w:p w:rsidR="003A7FF6" w:rsidRDefault="003A7FF6" w:rsidP="00D90EBA">
      <w:pPr>
        <w:rPr>
          <w:lang w:eastAsia="en-US"/>
        </w:rPr>
      </w:pPr>
    </w:p>
    <w:p w:rsidR="003A7FF6" w:rsidRDefault="003A7FF6" w:rsidP="00D90EBA">
      <w:pPr>
        <w:rPr>
          <w:lang w:eastAsia="en-US"/>
        </w:rPr>
      </w:pPr>
    </w:p>
    <w:p w:rsidR="00734095" w:rsidRDefault="00D90EBA" w:rsidP="00D90EBA">
      <w:pPr>
        <w:pStyle w:val="Lgende"/>
        <w:rPr>
          <w:color w:val="000000" w:themeColor="text1"/>
          <w:sz w:val="22"/>
          <w:szCs w:val="22"/>
          <w:lang w:eastAsia="en-US"/>
        </w:rPr>
      </w:pPr>
      <w:bookmarkStart w:id="86" w:name="_Toc483991283"/>
      <w:r w:rsidRPr="00D90EBA">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6.2</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4</w:t>
      </w:r>
      <w:r w:rsidR="00E72F8E">
        <w:rPr>
          <w:color w:val="000000" w:themeColor="text1"/>
          <w:sz w:val="22"/>
          <w:szCs w:val="22"/>
        </w:rPr>
        <w:fldChar w:fldCharType="end"/>
      </w:r>
      <w:r w:rsidR="00734095" w:rsidRPr="00D90EBA">
        <w:rPr>
          <w:color w:val="000000" w:themeColor="text1"/>
          <w:sz w:val="22"/>
          <w:szCs w:val="22"/>
          <w:lang w:eastAsia="en-US"/>
        </w:rPr>
        <w:t xml:space="preserve">: Dépenses des prestataires de soins de santé pour le </w:t>
      </w:r>
      <w:r w:rsidR="00E36A42" w:rsidRPr="00D90EBA">
        <w:rPr>
          <w:color w:val="000000" w:themeColor="text1"/>
          <w:sz w:val="22"/>
          <w:szCs w:val="22"/>
          <w:lang w:eastAsia="en-US"/>
        </w:rPr>
        <w:t xml:space="preserve">VIH </w:t>
      </w:r>
      <w:r w:rsidR="00CD3333" w:rsidRPr="00D90EBA">
        <w:rPr>
          <w:color w:val="000000" w:themeColor="text1"/>
          <w:sz w:val="22"/>
          <w:szCs w:val="22"/>
          <w:lang w:eastAsia="en-US"/>
        </w:rPr>
        <w:t>et le</w:t>
      </w:r>
      <w:r w:rsidR="00E36A42" w:rsidRPr="00D90EBA">
        <w:rPr>
          <w:color w:val="000000" w:themeColor="text1"/>
          <w:sz w:val="22"/>
          <w:szCs w:val="22"/>
          <w:lang w:eastAsia="en-US"/>
        </w:rPr>
        <w:t xml:space="preserve"> SIDA</w:t>
      </w:r>
      <w:r w:rsidR="00B91D9E">
        <w:rPr>
          <w:color w:val="000000" w:themeColor="text1"/>
          <w:sz w:val="22"/>
          <w:szCs w:val="22"/>
          <w:lang w:eastAsia="en-US"/>
        </w:rPr>
        <w:t xml:space="preserve"> en million de FCFA</w:t>
      </w:r>
      <w:bookmarkEnd w:id="86"/>
    </w:p>
    <w:tbl>
      <w:tblPr>
        <w:tblW w:w="9280" w:type="dxa"/>
        <w:tblInd w:w="62" w:type="dxa"/>
        <w:tblCellMar>
          <w:left w:w="70" w:type="dxa"/>
          <w:right w:w="70" w:type="dxa"/>
        </w:tblCellMar>
        <w:tblLook w:val="04A0"/>
      </w:tblPr>
      <w:tblGrid>
        <w:gridCol w:w="3160"/>
        <w:gridCol w:w="3520"/>
        <w:gridCol w:w="1400"/>
        <w:gridCol w:w="1200"/>
      </w:tblGrid>
      <w:tr w:rsidR="00B91D9E" w:rsidRPr="00B91D9E" w:rsidTr="00B91D9E">
        <w:trPr>
          <w:trHeight w:val="315"/>
        </w:trPr>
        <w:tc>
          <w:tcPr>
            <w:tcW w:w="6680" w:type="dxa"/>
            <w:gridSpan w:val="2"/>
            <w:tcBorders>
              <w:top w:val="single" w:sz="4" w:space="0" w:color="auto"/>
              <w:left w:val="single" w:sz="4" w:space="0" w:color="auto"/>
              <w:bottom w:val="single" w:sz="4" w:space="0" w:color="auto"/>
              <w:right w:val="nil"/>
            </w:tcBorders>
            <w:shd w:val="clear" w:color="auto" w:fill="auto"/>
            <w:noWrap/>
            <w:vAlign w:val="center"/>
            <w:hideMark/>
          </w:tcPr>
          <w:p w:rsidR="00B91D9E" w:rsidRPr="00B91D9E" w:rsidRDefault="00B91D9E" w:rsidP="00B91D9E">
            <w:pPr>
              <w:autoSpaceDE/>
              <w:autoSpaceDN/>
              <w:adjustRightInd/>
              <w:spacing w:after="0" w:line="240" w:lineRule="auto"/>
              <w:jc w:val="center"/>
              <w:rPr>
                <w:rFonts w:eastAsia="Times New Roman"/>
                <w:b/>
                <w:lang w:eastAsia="fr-FR"/>
              </w:rPr>
            </w:pPr>
            <w:r w:rsidRPr="00B91D9E">
              <w:rPr>
                <w:rFonts w:eastAsia="Times New Roman"/>
                <w:b/>
                <w:lang w:eastAsia="fr-FR"/>
              </w:rPr>
              <w:t>Prestataires de soins de santé VIH</w:t>
            </w:r>
          </w:p>
        </w:tc>
        <w:tc>
          <w:tcPr>
            <w:tcW w:w="1400" w:type="dxa"/>
            <w:tcBorders>
              <w:top w:val="single" w:sz="4" w:space="0" w:color="auto"/>
              <w:left w:val="nil"/>
              <w:bottom w:val="single" w:sz="4" w:space="0" w:color="auto"/>
              <w:right w:val="nil"/>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r w:rsidRPr="00B91D9E">
              <w:rPr>
                <w:rFonts w:eastAsia="Times New Roman"/>
                <w:b/>
                <w:lang w:eastAsia="fr-FR"/>
              </w:rPr>
              <w:t> </w:t>
            </w:r>
            <w:r>
              <w:rPr>
                <w:rFonts w:eastAsia="Times New Roman"/>
                <w:b/>
                <w:lang w:eastAsia="fr-FR"/>
              </w:rPr>
              <w:t>Dépenses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center"/>
              <w:rPr>
                <w:rFonts w:eastAsia="Times New Roman"/>
                <w:b/>
                <w:lang w:eastAsia="fr-FR"/>
              </w:rPr>
            </w:pPr>
            <w:r w:rsidRPr="00B91D9E">
              <w:rPr>
                <w:rFonts w:eastAsia="Times New Roman"/>
                <w:b/>
                <w:lang w:eastAsia="fr-FR"/>
              </w:rPr>
              <w:t>%</w:t>
            </w:r>
          </w:p>
        </w:tc>
      </w:tr>
      <w:tr w:rsidR="00B91D9E" w:rsidRPr="00B91D9E" w:rsidTr="00B91D9E">
        <w:trPr>
          <w:trHeight w:val="450"/>
        </w:trPr>
        <w:tc>
          <w:tcPr>
            <w:tcW w:w="3160" w:type="dxa"/>
            <w:vMerge w:val="restart"/>
            <w:tcBorders>
              <w:top w:val="nil"/>
              <w:left w:val="single" w:sz="4" w:space="0" w:color="auto"/>
              <w:bottom w:val="nil"/>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r w:rsidRPr="00B91D9E">
              <w:rPr>
                <w:rFonts w:eastAsia="Times New Roman"/>
                <w:b/>
                <w:lang w:eastAsia="fr-FR"/>
              </w:rPr>
              <w:t>Hôpitaux</w:t>
            </w:r>
          </w:p>
        </w:tc>
        <w:tc>
          <w:tcPr>
            <w:tcW w:w="3520" w:type="dxa"/>
            <w:tcBorders>
              <w:top w:val="nil"/>
              <w:left w:val="nil"/>
              <w:bottom w:val="nil"/>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Hôpitaux généraux publics</w:t>
            </w:r>
          </w:p>
        </w:tc>
        <w:tc>
          <w:tcPr>
            <w:tcW w:w="14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right"/>
              <w:rPr>
                <w:rFonts w:eastAsia="Times New Roman"/>
                <w:bCs w:val="0"/>
                <w:lang w:eastAsia="fr-FR"/>
              </w:rPr>
            </w:pPr>
            <w:r w:rsidRPr="00B91D9E">
              <w:rPr>
                <w:rFonts w:eastAsia="Times New Roman"/>
                <w:bCs w:val="0"/>
                <w:lang w:eastAsia="fr-FR"/>
              </w:rPr>
              <w:t xml:space="preserve">     4 742,55   </w:t>
            </w:r>
          </w:p>
        </w:tc>
        <w:tc>
          <w:tcPr>
            <w:tcW w:w="12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 xml:space="preserve">      36,13   </w:t>
            </w:r>
          </w:p>
        </w:tc>
      </w:tr>
      <w:tr w:rsidR="00B91D9E" w:rsidRPr="00B91D9E" w:rsidTr="00B91D9E">
        <w:trPr>
          <w:trHeight w:val="495"/>
        </w:trPr>
        <w:tc>
          <w:tcPr>
            <w:tcW w:w="3160" w:type="dxa"/>
            <w:vMerge/>
            <w:tcBorders>
              <w:top w:val="nil"/>
              <w:left w:val="single" w:sz="4" w:space="0" w:color="auto"/>
              <w:bottom w:val="nil"/>
              <w:right w:val="single" w:sz="4" w:space="0" w:color="auto"/>
            </w:tcBorders>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p>
        </w:tc>
        <w:tc>
          <w:tcPr>
            <w:tcW w:w="3520" w:type="dxa"/>
            <w:tcBorders>
              <w:top w:val="nil"/>
              <w:left w:val="nil"/>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Hôpitaux généraux privés</w:t>
            </w:r>
          </w:p>
        </w:tc>
        <w:tc>
          <w:tcPr>
            <w:tcW w:w="14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right"/>
              <w:rPr>
                <w:rFonts w:eastAsia="Times New Roman"/>
                <w:bCs w:val="0"/>
                <w:lang w:eastAsia="fr-FR"/>
              </w:rPr>
            </w:pPr>
            <w:r w:rsidRPr="00B91D9E">
              <w:rPr>
                <w:rFonts w:eastAsia="Times New Roman"/>
                <w:bCs w:val="0"/>
                <w:lang w:eastAsia="fr-FR"/>
              </w:rPr>
              <w:t xml:space="preserve">            0,03   </w:t>
            </w:r>
          </w:p>
        </w:tc>
        <w:tc>
          <w:tcPr>
            <w:tcW w:w="12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 xml:space="preserve">        0,00   </w:t>
            </w:r>
          </w:p>
        </w:tc>
      </w:tr>
      <w:tr w:rsidR="00B91D9E" w:rsidRPr="00B91D9E" w:rsidTr="00B91D9E">
        <w:trPr>
          <w:trHeight w:val="76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r w:rsidRPr="00B91D9E">
              <w:rPr>
                <w:rFonts w:eastAsia="Times New Roman"/>
                <w:b/>
                <w:lang w:eastAsia="fr-FR"/>
              </w:rPr>
              <w:t>Prestataires de soins de santé ambulatoire</w:t>
            </w:r>
          </w:p>
        </w:tc>
        <w:tc>
          <w:tcPr>
            <w:tcW w:w="3520" w:type="dxa"/>
            <w:tcBorders>
              <w:top w:val="nil"/>
              <w:left w:val="nil"/>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Centres de soins ambulatoires non-spécialisés</w:t>
            </w:r>
          </w:p>
        </w:tc>
        <w:tc>
          <w:tcPr>
            <w:tcW w:w="14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right"/>
              <w:rPr>
                <w:rFonts w:eastAsia="Times New Roman"/>
                <w:bCs w:val="0"/>
                <w:lang w:eastAsia="fr-FR"/>
              </w:rPr>
            </w:pPr>
            <w:r w:rsidRPr="00B91D9E">
              <w:rPr>
                <w:rFonts w:eastAsia="Times New Roman"/>
                <w:bCs w:val="0"/>
                <w:lang w:eastAsia="fr-FR"/>
              </w:rPr>
              <w:t xml:space="preserve">     6 141,47   </w:t>
            </w:r>
          </w:p>
        </w:tc>
        <w:tc>
          <w:tcPr>
            <w:tcW w:w="12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 xml:space="preserve">      46,79   </w:t>
            </w:r>
          </w:p>
        </w:tc>
      </w:tr>
      <w:tr w:rsidR="00B91D9E" w:rsidRPr="00B91D9E" w:rsidTr="00B91D9E">
        <w:trPr>
          <w:trHeight w:val="70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r w:rsidRPr="00B91D9E">
              <w:rPr>
                <w:rFonts w:eastAsia="Times New Roman"/>
                <w:b/>
                <w:lang w:eastAsia="fr-FR"/>
              </w:rPr>
              <w:t>Prestataires de services auxiliaires</w:t>
            </w:r>
          </w:p>
        </w:tc>
        <w:tc>
          <w:tcPr>
            <w:tcW w:w="3520" w:type="dxa"/>
            <w:tcBorders>
              <w:top w:val="nil"/>
              <w:left w:val="nil"/>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Laboratoire public</w:t>
            </w:r>
          </w:p>
        </w:tc>
        <w:tc>
          <w:tcPr>
            <w:tcW w:w="14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right"/>
              <w:rPr>
                <w:rFonts w:eastAsia="Times New Roman"/>
                <w:bCs w:val="0"/>
                <w:lang w:eastAsia="fr-FR"/>
              </w:rPr>
            </w:pPr>
            <w:r w:rsidRPr="00B91D9E">
              <w:rPr>
                <w:rFonts w:eastAsia="Times New Roman"/>
                <w:bCs w:val="0"/>
                <w:lang w:eastAsia="fr-FR"/>
              </w:rPr>
              <w:t xml:space="preserve">            1,12   </w:t>
            </w:r>
          </w:p>
        </w:tc>
        <w:tc>
          <w:tcPr>
            <w:tcW w:w="12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 xml:space="preserve">        0,01   </w:t>
            </w:r>
          </w:p>
        </w:tc>
      </w:tr>
      <w:tr w:rsidR="00B91D9E" w:rsidRPr="00B91D9E" w:rsidTr="00B91D9E">
        <w:trPr>
          <w:trHeight w:val="63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r w:rsidRPr="00B91D9E">
              <w:rPr>
                <w:rFonts w:eastAsia="Times New Roman"/>
                <w:b/>
                <w:lang w:eastAsia="fr-FR"/>
              </w:rPr>
              <w:t>Prestataires de soins préventifs</w:t>
            </w:r>
          </w:p>
        </w:tc>
        <w:tc>
          <w:tcPr>
            <w:tcW w:w="3520" w:type="dxa"/>
            <w:tcBorders>
              <w:top w:val="nil"/>
              <w:left w:val="nil"/>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Prestataires de soins préventifs</w:t>
            </w:r>
          </w:p>
        </w:tc>
        <w:tc>
          <w:tcPr>
            <w:tcW w:w="14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right"/>
              <w:rPr>
                <w:rFonts w:eastAsia="Times New Roman"/>
                <w:bCs w:val="0"/>
                <w:lang w:eastAsia="fr-FR"/>
              </w:rPr>
            </w:pPr>
            <w:r w:rsidRPr="00B91D9E">
              <w:rPr>
                <w:rFonts w:eastAsia="Times New Roman"/>
                <w:bCs w:val="0"/>
                <w:lang w:eastAsia="fr-FR"/>
              </w:rPr>
              <w:t xml:space="preserve">        647,32   </w:t>
            </w:r>
          </w:p>
        </w:tc>
        <w:tc>
          <w:tcPr>
            <w:tcW w:w="12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 xml:space="preserve">        4,93   </w:t>
            </w:r>
          </w:p>
        </w:tc>
      </w:tr>
      <w:tr w:rsidR="00B91D9E" w:rsidRPr="00B91D9E" w:rsidTr="00B91D9E">
        <w:trPr>
          <w:trHeight w:val="121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r w:rsidRPr="00B91D9E">
              <w:rPr>
                <w:rFonts w:eastAsia="Times New Roman"/>
                <w:b/>
                <w:lang w:eastAsia="fr-FR"/>
              </w:rPr>
              <w:t>Prestataires de services administratifs et de financement du système de soins de santé</w:t>
            </w:r>
          </w:p>
        </w:tc>
        <w:tc>
          <w:tcPr>
            <w:tcW w:w="3520" w:type="dxa"/>
            <w:tcBorders>
              <w:top w:val="nil"/>
              <w:left w:val="nil"/>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Agences étatiques de l'administration de la santé</w:t>
            </w:r>
          </w:p>
        </w:tc>
        <w:tc>
          <w:tcPr>
            <w:tcW w:w="14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right"/>
              <w:rPr>
                <w:rFonts w:eastAsia="Times New Roman"/>
                <w:bCs w:val="0"/>
                <w:lang w:eastAsia="fr-FR"/>
              </w:rPr>
            </w:pPr>
            <w:r w:rsidRPr="00B91D9E">
              <w:rPr>
                <w:rFonts w:eastAsia="Times New Roman"/>
                <w:bCs w:val="0"/>
                <w:lang w:eastAsia="fr-FR"/>
              </w:rPr>
              <w:t xml:space="preserve">     1 584,89   </w:t>
            </w:r>
          </w:p>
        </w:tc>
        <w:tc>
          <w:tcPr>
            <w:tcW w:w="12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 xml:space="preserve">      12,07   </w:t>
            </w:r>
          </w:p>
        </w:tc>
      </w:tr>
      <w:tr w:rsidR="00B91D9E" w:rsidRPr="00B91D9E" w:rsidTr="00B91D9E">
        <w:trPr>
          <w:trHeight w:val="91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r w:rsidRPr="00B91D9E">
              <w:rPr>
                <w:rFonts w:eastAsia="Times New Roman"/>
                <w:b/>
                <w:lang w:eastAsia="fr-FR"/>
              </w:rPr>
              <w:t>Reste de l'économie</w:t>
            </w:r>
          </w:p>
        </w:tc>
        <w:tc>
          <w:tcPr>
            <w:tcW w:w="3520" w:type="dxa"/>
            <w:tcBorders>
              <w:top w:val="nil"/>
              <w:left w:val="nil"/>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Toutes autres industries prestataires secondaires de soins de santé</w:t>
            </w:r>
          </w:p>
        </w:tc>
        <w:tc>
          <w:tcPr>
            <w:tcW w:w="14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right"/>
              <w:rPr>
                <w:rFonts w:eastAsia="Times New Roman"/>
                <w:bCs w:val="0"/>
                <w:lang w:eastAsia="fr-FR"/>
              </w:rPr>
            </w:pPr>
            <w:r w:rsidRPr="00B91D9E">
              <w:rPr>
                <w:rFonts w:eastAsia="Times New Roman"/>
                <w:bCs w:val="0"/>
                <w:lang w:eastAsia="fr-FR"/>
              </w:rPr>
              <w:t xml:space="preserve">            7,08   </w:t>
            </w:r>
          </w:p>
        </w:tc>
        <w:tc>
          <w:tcPr>
            <w:tcW w:w="12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 xml:space="preserve">        0,05   </w:t>
            </w:r>
          </w:p>
        </w:tc>
      </w:tr>
      <w:tr w:rsidR="00B91D9E" w:rsidRPr="00B91D9E" w:rsidTr="00B91D9E">
        <w:trPr>
          <w:trHeight w:val="46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r w:rsidRPr="00B91D9E">
              <w:rPr>
                <w:rFonts w:eastAsia="Times New Roman"/>
                <w:b/>
                <w:lang w:eastAsia="fr-FR"/>
              </w:rPr>
              <w:t>Reste du monde</w:t>
            </w:r>
          </w:p>
        </w:tc>
        <w:tc>
          <w:tcPr>
            <w:tcW w:w="3520" w:type="dxa"/>
            <w:tcBorders>
              <w:top w:val="nil"/>
              <w:left w:val="nil"/>
              <w:bottom w:val="single" w:sz="4" w:space="0" w:color="auto"/>
              <w:right w:val="single" w:sz="4" w:space="0" w:color="auto"/>
            </w:tcBorders>
            <w:shd w:val="clear" w:color="auto" w:fill="auto"/>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Reste du monde</w:t>
            </w:r>
          </w:p>
        </w:tc>
        <w:tc>
          <w:tcPr>
            <w:tcW w:w="14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right"/>
              <w:rPr>
                <w:rFonts w:eastAsia="Times New Roman"/>
                <w:bCs w:val="0"/>
                <w:lang w:eastAsia="fr-FR"/>
              </w:rPr>
            </w:pPr>
            <w:r w:rsidRPr="00B91D9E">
              <w:rPr>
                <w:rFonts w:eastAsia="Times New Roman"/>
                <w:bCs w:val="0"/>
                <w:lang w:eastAsia="fr-FR"/>
              </w:rPr>
              <w:t xml:space="preserve">            1,43   </w:t>
            </w:r>
          </w:p>
        </w:tc>
        <w:tc>
          <w:tcPr>
            <w:tcW w:w="12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Cs w:val="0"/>
                <w:lang w:eastAsia="fr-FR"/>
              </w:rPr>
            </w:pPr>
            <w:r w:rsidRPr="00B91D9E">
              <w:rPr>
                <w:rFonts w:eastAsia="Times New Roman"/>
                <w:bCs w:val="0"/>
                <w:lang w:eastAsia="fr-FR"/>
              </w:rPr>
              <w:t xml:space="preserve">        0,01   </w:t>
            </w:r>
          </w:p>
        </w:tc>
      </w:tr>
      <w:tr w:rsidR="00B91D9E" w:rsidRPr="00B91D9E" w:rsidTr="00B91D9E">
        <w:trPr>
          <w:trHeight w:val="315"/>
        </w:trPr>
        <w:tc>
          <w:tcPr>
            <w:tcW w:w="66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r w:rsidRPr="00B91D9E">
              <w:rPr>
                <w:rFonts w:eastAsia="Times New Roman"/>
                <w:b/>
                <w:lang w:eastAsia="fr-FR"/>
              </w:rPr>
              <w:t>Total</w:t>
            </w:r>
          </w:p>
        </w:tc>
        <w:tc>
          <w:tcPr>
            <w:tcW w:w="14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left"/>
              <w:rPr>
                <w:rFonts w:eastAsia="Times New Roman"/>
                <w:b/>
                <w:lang w:eastAsia="fr-FR"/>
              </w:rPr>
            </w:pPr>
            <w:r w:rsidRPr="00B91D9E">
              <w:rPr>
                <w:rFonts w:eastAsia="Times New Roman"/>
                <w:b/>
                <w:lang w:eastAsia="fr-FR"/>
              </w:rPr>
              <w:t xml:space="preserve">   13 125,89   </w:t>
            </w:r>
          </w:p>
        </w:tc>
        <w:tc>
          <w:tcPr>
            <w:tcW w:w="1200" w:type="dxa"/>
            <w:tcBorders>
              <w:top w:val="nil"/>
              <w:left w:val="nil"/>
              <w:bottom w:val="single" w:sz="4" w:space="0" w:color="auto"/>
              <w:right w:val="single" w:sz="4" w:space="0" w:color="auto"/>
            </w:tcBorders>
            <w:shd w:val="clear" w:color="auto" w:fill="auto"/>
            <w:noWrap/>
            <w:vAlign w:val="center"/>
            <w:hideMark/>
          </w:tcPr>
          <w:p w:rsidR="00B91D9E" w:rsidRPr="00B91D9E" w:rsidRDefault="00B91D9E" w:rsidP="00B91D9E">
            <w:pPr>
              <w:autoSpaceDE/>
              <w:autoSpaceDN/>
              <w:adjustRightInd/>
              <w:spacing w:after="0" w:line="240" w:lineRule="auto"/>
              <w:jc w:val="right"/>
              <w:rPr>
                <w:rFonts w:eastAsia="Times New Roman"/>
                <w:b/>
                <w:lang w:eastAsia="fr-FR"/>
              </w:rPr>
            </w:pPr>
            <w:r w:rsidRPr="00B91D9E">
              <w:rPr>
                <w:rFonts w:eastAsia="Times New Roman"/>
                <w:b/>
                <w:lang w:eastAsia="fr-FR"/>
              </w:rPr>
              <w:t xml:space="preserve">    100,00   </w:t>
            </w:r>
          </w:p>
        </w:tc>
      </w:tr>
    </w:tbl>
    <w:p w:rsidR="00266DAB" w:rsidRDefault="00266DAB" w:rsidP="00947090">
      <w:pPr>
        <w:rPr>
          <w:lang w:eastAsia="en-US"/>
        </w:rPr>
      </w:pPr>
    </w:p>
    <w:p w:rsidR="00734095" w:rsidRPr="0044670F" w:rsidRDefault="00734095" w:rsidP="00587784">
      <w:pPr>
        <w:spacing w:line="312" w:lineRule="auto"/>
        <w:rPr>
          <w:lang w:eastAsia="en-US"/>
        </w:rPr>
      </w:pPr>
      <w:r w:rsidRPr="0044670F">
        <w:rPr>
          <w:lang w:eastAsia="en-US"/>
        </w:rPr>
        <w:t xml:space="preserve">Ce tableau montre que ce sont les prestataires de soins </w:t>
      </w:r>
      <w:r w:rsidR="00B91D9E">
        <w:rPr>
          <w:lang w:eastAsia="en-US"/>
        </w:rPr>
        <w:t xml:space="preserve">ambulatoires </w:t>
      </w:r>
      <w:r w:rsidRPr="0044670F">
        <w:rPr>
          <w:lang w:eastAsia="en-US"/>
        </w:rPr>
        <w:t xml:space="preserve">qui ont reçu et utilisé la plus importante part des dépenses pour le </w:t>
      </w:r>
      <w:r w:rsidR="00E36A42" w:rsidRPr="0044670F">
        <w:rPr>
          <w:lang w:eastAsia="en-US"/>
        </w:rPr>
        <w:t xml:space="preserve">VIH </w:t>
      </w:r>
      <w:r w:rsidR="009604F5" w:rsidRPr="0044670F">
        <w:rPr>
          <w:lang w:eastAsia="en-US"/>
        </w:rPr>
        <w:t>et le</w:t>
      </w:r>
      <w:r w:rsidR="00E36A42" w:rsidRPr="0044670F">
        <w:rPr>
          <w:lang w:eastAsia="en-US"/>
        </w:rPr>
        <w:t xml:space="preserve"> SIDA</w:t>
      </w:r>
      <w:r w:rsidRPr="0044670F">
        <w:rPr>
          <w:lang w:eastAsia="en-US"/>
        </w:rPr>
        <w:t xml:space="preserve">, soit </w:t>
      </w:r>
      <w:r w:rsidR="00B91D9E">
        <w:rPr>
          <w:lang w:eastAsia="en-US"/>
        </w:rPr>
        <w:t>46,79</w:t>
      </w:r>
      <w:r w:rsidRPr="0044670F">
        <w:rPr>
          <w:lang w:eastAsia="en-US"/>
        </w:rPr>
        <w:t xml:space="preserve"> %.  La deuxième plus importante part des dépenses a été effectuée par les prestataires de soins </w:t>
      </w:r>
      <w:r w:rsidR="00D72C78">
        <w:rPr>
          <w:lang w:eastAsia="en-US"/>
        </w:rPr>
        <w:t xml:space="preserve">hospitaliers </w:t>
      </w:r>
      <w:r w:rsidRPr="0044670F">
        <w:rPr>
          <w:lang w:eastAsia="en-US"/>
        </w:rPr>
        <w:t xml:space="preserve"> avec </w:t>
      </w:r>
      <w:r w:rsidR="00D72C78">
        <w:rPr>
          <w:lang w:eastAsia="en-US"/>
        </w:rPr>
        <w:t>36,13</w:t>
      </w:r>
      <w:r w:rsidRPr="0044670F">
        <w:rPr>
          <w:lang w:eastAsia="en-US"/>
        </w:rPr>
        <w:t xml:space="preserve"> % du total.</w:t>
      </w:r>
      <w:r w:rsidR="00B32172">
        <w:rPr>
          <w:lang w:eastAsia="en-US"/>
        </w:rPr>
        <w:t xml:space="preserve"> </w:t>
      </w:r>
      <w:r w:rsidR="00D72C78">
        <w:rPr>
          <w:lang w:eastAsia="en-US"/>
        </w:rPr>
        <w:t>Les prestataires des services administratifs et de financement du système de soins de santé viennent en troisième position en 12,07%. Les prestataires de soins préventifs n’en reçoivent que 4,93 % du total</w:t>
      </w:r>
    </w:p>
    <w:p w:rsidR="00734095" w:rsidRPr="007C796A" w:rsidRDefault="00484C05" w:rsidP="00947090">
      <w:pPr>
        <w:pStyle w:val="Titre3"/>
        <w:ind w:left="1004" w:hanging="720"/>
        <w:rPr>
          <w:lang w:eastAsia="en-US"/>
        </w:rPr>
      </w:pPr>
      <w:bookmarkStart w:id="87" w:name="_Toc413941269"/>
      <w:r>
        <w:rPr>
          <w:lang w:eastAsia="en-US"/>
        </w:rPr>
        <w:t xml:space="preserve">6.2.5. </w:t>
      </w:r>
      <w:r w:rsidR="00734095" w:rsidRPr="007C796A">
        <w:rPr>
          <w:lang w:eastAsia="en-US"/>
        </w:rPr>
        <w:t xml:space="preserve">Dépenses du </w:t>
      </w:r>
      <w:r w:rsidR="00E36A42" w:rsidRPr="007C796A">
        <w:rPr>
          <w:lang w:eastAsia="en-US"/>
        </w:rPr>
        <w:t xml:space="preserve">VIH </w:t>
      </w:r>
      <w:r w:rsidR="00A61383" w:rsidRPr="007C796A">
        <w:rPr>
          <w:lang w:eastAsia="en-US"/>
        </w:rPr>
        <w:t>et du</w:t>
      </w:r>
      <w:r w:rsidR="00E36A42" w:rsidRPr="007C796A">
        <w:rPr>
          <w:lang w:eastAsia="en-US"/>
        </w:rPr>
        <w:t xml:space="preserve"> SIDA</w:t>
      </w:r>
      <w:r w:rsidR="00734095" w:rsidRPr="007C796A">
        <w:rPr>
          <w:lang w:eastAsia="en-US"/>
        </w:rPr>
        <w:t xml:space="preserve"> par fonction sanitaire</w:t>
      </w:r>
      <w:bookmarkEnd w:id="87"/>
    </w:p>
    <w:p w:rsidR="00484C05" w:rsidRDefault="00734095" w:rsidP="00750033">
      <w:pPr>
        <w:spacing w:line="312" w:lineRule="auto"/>
        <w:rPr>
          <w:lang w:eastAsia="en-US"/>
        </w:rPr>
      </w:pPr>
      <w:r w:rsidRPr="0044670F">
        <w:rPr>
          <w:lang w:eastAsia="en-US"/>
        </w:rPr>
        <w:t>La répartition des dépenses du VIH sont récapitulées par fonction sanit</w:t>
      </w:r>
      <w:r w:rsidR="00A61383" w:rsidRPr="0044670F">
        <w:rPr>
          <w:lang w:eastAsia="en-US"/>
        </w:rPr>
        <w:t>aire dans le tableau</w:t>
      </w:r>
      <w:r w:rsidR="00D90EBA">
        <w:rPr>
          <w:lang w:eastAsia="en-US"/>
        </w:rPr>
        <w:t xml:space="preserve"> 6.2.5</w:t>
      </w:r>
      <w:r w:rsidRPr="0044670F">
        <w:rPr>
          <w:lang w:eastAsia="en-US"/>
        </w:rPr>
        <w:t>.</w:t>
      </w:r>
    </w:p>
    <w:p w:rsidR="003A7FF6" w:rsidRDefault="003A7FF6" w:rsidP="00750033">
      <w:pPr>
        <w:spacing w:line="312" w:lineRule="auto"/>
        <w:rPr>
          <w:lang w:eastAsia="en-US"/>
        </w:rPr>
      </w:pPr>
    </w:p>
    <w:p w:rsidR="003A7FF6" w:rsidRDefault="003A7FF6" w:rsidP="00750033">
      <w:pPr>
        <w:spacing w:line="312" w:lineRule="auto"/>
        <w:rPr>
          <w:lang w:eastAsia="en-US"/>
        </w:rPr>
      </w:pPr>
    </w:p>
    <w:p w:rsidR="003A7FF6" w:rsidRDefault="003A7FF6" w:rsidP="00750033">
      <w:pPr>
        <w:spacing w:line="312" w:lineRule="auto"/>
      </w:pPr>
    </w:p>
    <w:p w:rsidR="00484C05" w:rsidRDefault="00D90EBA" w:rsidP="007F4F52">
      <w:pPr>
        <w:autoSpaceDE/>
        <w:autoSpaceDN/>
        <w:adjustRightInd/>
        <w:spacing w:after="0" w:line="240" w:lineRule="auto"/>
        <w:jc w:val="left"/>
        <w:rPr>
          <w:rFonts w:eastAsia="Times New Roman"/>
          <w:bCs w:val="0"/>
          <w:lang w:eastAsia="fr-FR"/>
        </w:rPr>
      </w:pPr>
      <w:bookmarkStart w:id="88" w:name="_Toc483991284"/>
      <w:r w:rsidRPr="00D90EBA">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6.2</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5</w:t>
      </w:r>
      <w:r w:rsidR="00E72F8E">
        <w:rPr>
          <w:color w:val="000000" w:themeColor="text1"/>
          <w:sz w:val="22"/>
          <w:szCs w:val="22"/>
        </w:rPr>
        <w:fldChar w:fldCharType="end"/>
      </w:r>
      <w:r w:rsidR="00734095" w:rsidRPr="00D90EBA">
        <w:rPr>
          <w:color w:val="000000" w:themeColor="text1"/>
          <w:sz w:val="22"/>
          <w:szCs w:val="22"/>
          <w:lang w:eastAsia="en-US"/>
        </w:rPr>
        <w:t xml:space="preserve">: Répartition des dépenses du </w:t>
      </w:r>
      <w:r w:rsidR="00E36A42" w:rsidRPr="00D90EBA">
        <w:rPr>
          <w:color w:val="000000" w:themeColor="text1"/>
          <w:sz w:val="22"/>
          <w:szCs w:val="22"/>
          <w:lang w:eastAsia="en-US"/>
        </w:rPr>
        <w:t xml:space="preserve">VIH </w:t>
      </w:r>
      <w:r w:rsidR="00A61383" w:rsidRPr="00D90EBA">
        <w:rPr>
          <w:color w:val="000000" w:themeColor="text1"/>
          <w:sz w:val="22"/>
          <w:szCs w:val="22"/>
          <w:lang w:eastAsia="en-US"/>
        </w:rPr>
        <w:t>et du</w:t>
      </w:r>
      <w:r w:rsidR="00E36A42" w:rsidRPr="00D90EBA">
        <w:rPr>
          <w:color w:val="000000" w:themeColor="text1"/>
          <w:sz w:val="22"/>
          <w:szCs w:val="22"/>
          <w:lang w:eastAsia="en-US"/>
        </w:rPr>
        <w:t xml:space="preserve"> SIDA</w:t>
      </w:r>
      <w:r w:rsidR="00734095" w:rsidRPr="00D90EBA">
        <w:rPr>
          <w:color w:val="000000" w:themeColor="text1"/>
          <w:sz w:val="22"/>
          <w:szCs w:val="22"/>
          <w:lang w:eastAsia="en-US"/>
        </w:rPr>
        <w:t xml:space="preserve"> par fonction sanitaire</w:t>
      </w:r>
      <w:r w:rsidR="00484C05">
        <w:rPr>
          <w:color w:val="000000" w:themeColor="text1"/>
          <w:sz w:val="22"/>
          <w:szCs w:val="22"/>
          <w:lang w:eastAsia="en-US"/>
        </w:rPr>
        <w:t xml:space="preserve"> (</w:t>
      </w:r>
      <w:r w:rsidR="00484C05">
        <w:rPr>
          <w:rFonts w:eastAsia="Times New Roman"/>
          <w:bCs w:val="0"/>
          <w:lang w:eastAsia="fr-FR"/>
        </w:rPr>
        <w:t>en million de FCFA)</w:t>
      </w:r>
      <w:bookmarkEnd w:id="88"/>
    </w:p>
    <w:p w:rsidR="00D92420" w:rsidRPr="007F4F52" w:rsidRDefault="00D92420" w:rsidP="007F4F52">
      <w:pPr>
        <w:autoSpaceDE/>
        <w:autoSpaceDN/>
        <w:adjustRightInd/>
        <w:spacing w:after="0" w:line="240" w:lineRule="auto"/>
        <w:jc w:val="left"/>
        <w:rPr>
          <w:rFonts w:ascii="Calibri" w:eastAsia="Times New Roman" w:hAnsi="Calibri"/>
          <w:bCs w:val="0"/>
          <w:lang w:eastAsia="fr-FR"/>
        </w:rPr>
      </w:pPr>
    </w:p>
    <w:tbl>
      <w:tblPr>
        <w:tblW w:w="7360" w:type="dxa"/>
        <w:tblInd w:w="56" w:type="dxa"/>
        <w:tblCellMar>
          <w:left w:w="70" w:type="dxa"/>
          <w:right w:w="70" w:type="dxa"/>
        </w:tblCellMar>
        <w:tblLook w:val="04A0"/>
      </w:tblPr>
      <w:tblGrid>
        <w:gridCol w:w="4960"/>
        <w:gridCol w:w="1200"/>
        <w:gridCol w:w="1200"/>
      </w:tblGrid>
      <w:tr w:rsidR="00D92420" w:rsidRPr="00D92420" w:rsidTr="00D92420">
        <w:trPr>
          <w:trHeight w:val="315"/>
        </w:trPr>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Soins curatifs ambulatoires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1646,2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12,20</w:t>
            </w:r>
          </w:p>
        </w:tc>
      </w:tr>
      <w:tr w:rsidR="00D92420" w:rsidRPr="00D92420" w:rsidTr="00D92420">
        <w:trPr>
          <w:trHeight w:val="63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Soins (de santé) de longue durée en mode ambulatoire</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5378,92</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39,86</w:t>
            </w:r>
          </w:p>
        </w:tc>
      </w:tr>
      <w:tr w:rsidR="00D92420" w:rsidRPr="00D92420" w:rsidTr="00D92420">
        <w:trPr>
          <w:trHeight w:val="63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Services de laboratoire d’analyses médicales</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5,16</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0,04</w:t>
            </w:r>
          </w:p>
        </w:tc>
      </w:tr>
      <w:tr w:rsidR="00D92420" w:rsidRPr="00D92420" w:rsidTr="00D92420">
        <w:trPr>
          <w:trHeight w:val="63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Produits pharmaceutiques et autres biens médicaux non durables</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30,79</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0,23</w:t>
            </w:r>
          </w:p>
        </w:tc>
      </w:tr>
      <w:tr w:rsidR="00D92420" w:rsidRPr="00D92420" w:rsidTr="00D92420">
        <w:trPr>
          <w:trHeight w:val="63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Programmes d’information, d’éducation et de conseil (IEC)</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175,45</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1,30</w:t>
            </w:r>
          </w:p>
        </w:tc>
      </w:tr>
      <w:tr w:rsidR="00D92420" w:rsidRPr="00D92420" w:rsidTr="00D92420">
        <w:trPr>
          <w:trHeight w:val="315"/>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Programmes de détection précoce de maladie</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293,65</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2,18</w:t>
            </w:r>
          </w:p>
        </w:tc>
      </w:tr>
      <w:tr w:rsidR="00D92420" w:rsidRPr="00D92420" w:rsidTr="00D92420">
        <w:trPr>
          <w:trHeight w:val="315"/>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Programme de suivi de l’état de santé</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510,94</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3,79</w:t>
            </w:r>
          </w:p>
        </w:tc>
      </w:tr>
      <w:tr w:rsidR="00D92420" w:rsidRPr="00D92420" w:rsidTr="00D92420">
        <w:trPr>
          <w:trHeight w:val="63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Surveillance épidémiologique et programmes de lutte contre le risque et la maladie</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3528,05</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26,15</w:t>
            </w:r>
          </w:p>
        </w:tc>
      </w:tr>
      <w:tr w:rsidR="00D92420" w:rsidRPr="00D92420" w:rsidTr="00D92420">
        <w:trPr>
          <w:trHeight w:val="315"/>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Soins préventifs non spécifiés (n.c.a.)</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22,5</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0,17</w:t>
            </w:r>
          </w:p>
        </w:tc>
      </w:tr>
      <w:tr w:rsidR="00D92420" w:rsidRPr="00D92420" w:rsidTr="00D92420">
        <w:trPr>
          <w:trHeight w:val="63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Gouvernance et administration du système de santé</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1803,98</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13,37</w:t>
            </w:r>
          </w:p>
        </w:tc>
      </w:tr>
      <w:tr w:rsidR="00D92420" w:rsidRPr="00D92420" w:rsidTr="00D92420">
        <w:trPr>
          <w:trHeight w:val="330"/>
        </w:trPr>
        <w:tc>
          <w:tcPr>
            <w:tcW w:w="4960" w:type="dxa"/>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lang w:eastAsia="fr-FR"/>
              </w:rPr>
            </w:pPr>
            <w:r w:rsidRPr="00D92420">
              <w:rPr>
                <w:rFonts w:eastAsia="Times New Roman"/>
                <w:bCs w:val="0"/>
                <w:i/>
                <w:iCs/>
                <w:lang w:eastAsia="fr-FR"/>
              </w:rPr>
              <w:t>Administration du financement de la santé</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i/>
                <w:iCs/>
                <w:lang w:eastAsia="fr-FR"/>
              </w:rPr>
            </w:pPr>
            <w:r w:rsidRPr="00D92420">
              <w:rPr>
                <w:rFonts w:eastAsia="Times New Roman"/>
                <w:bCs w:val="0"/>
                <w:i/>
                <w:iCs/>
                <w:lang w:eastAsia="fr-FR"/>
              </w:rPr>
              <w:t>24,77</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0,18</w:t>
            </w:r>
          </w:p>
        </w:tc>
      </w:tr>
      <w:tr w:rsidR="00D92420" w:rsidRPr="00D92420" w:rsidTr="00D92420">
        <w:trPr>
          <w:trHeight w:val="330"/>
        </w:trPr>
        <w:tc>
          <w:tcPr>
            <w:tcW w:w="4960" w:type="dxa"/>
            <w:tcBorders>
              <w:top w:val="nil"/>
              <w:left w:val="single" w:sz="4" w:space="0" w:color="auto"/>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left"/>
              <w:rPr>
                <w:rFonts w:eastAsia="Times New Roman"/>
                <w:b/>
                <w:i/>
                <w:iCs/>
                <w:lang w:eastAsia="fr-FR"/>
              </w:rPr>
            </w:pPr>
            <w:r w:rsidRPr="00D92420">
              <w:rPr>
                <w:rFonts w:eastAsia="Times New Roman"/>
                <w:b/>
                <w:i/>
                <w:iCs/>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i/>
                <w:iCs/>
                <w:lang w:eastAsia="fr-FR"/>
              </w:rPr>
            </w:pPr>
            <w:r w:rsidRPr="00D92420">
              <w:rPr>
                <w:rFonts w:eastAsia="Times New Roman"/>
                <w:b/>
                <w:i/>
                <w:iCs/>
                <w:lang w:eastAsia="fr-FR"/>
              </w:rPr>
              <w:t>13 493,88</w:t>
            </w:r>
          </w:p>
        </w:tc>
        <w:tc>
          <w:tcPr>
            <w:tcW w:w="1200" w:type="dxa"/>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lang w:eastAsia="fr-FR"/>
              </w:rPr>
            </w:pPr>
            <w:r w:rsidRPr="00D92420">
              <w:rPr>
                <w:rFonts w:eastAsia="Times New Roman"/>
                <w:bCs w:val="0"/>
                <w:sz w:val="22"/>
                <w:szCs w:val="22"/>
                <w:lang w:eastAsia="fr-FR"/>
              </w:rPr>
              <w:t>100,00</w:t>
            </w:r>
          </w:p>
        </w:tc>
      </w:tr>
    </w:tbl>
    <w:p w:rsidR="00734095" w:rsidRPr="0044670F" w:rsidRDefault="00734095" w:rsidP="0011219A">
      <w:pPr>
        <w:spacing w:before="240" w:line="312" w:lineRule="auto"/>
        <w:rPr>
          <w:lang w:eastAsia="en-US"/>
        </w:rPr>
      </w:pPr>
      <w:r w:rsidRPr="0044670F">
        <w:rPr>
          <w:lang w:eastAsia="en-US"/>
        </w:rPr>
        <w:t xml:space="preserve">Ce sont les soins </w:t>
      </w:r>
      <w:r w:rsidR="00841AEB">
        <w:rPr>
          <w:lang w:eastAsia="en-US"/>
        </w:rPr>
        <w:t xml:space="preserve">de longue durée </w:t>
      </w:r>
      <w:r w:rsidRPr="0044670F">
        <w:rPr>
          <w:lang w:eastAsia="en-US"/>
        </w:rPr>
        <w:t xml:space="preserve"> ont occupé la plus grande part des dépenses du </w:t>
      </w:r>
      <w:r w:rsidR="00E36A42" w:rsidRPr="0044670F">
        <w:rPr>
          <w:lang w:eastAsia="en-US"/>
        </w:rPr>
        <w:t xml:space="preserve">VIH </w:t>
      </w:r>
      <w:r w:rsidR="00A61383" w:rsidRPr="0044670F">
        <w:rPr>
          <w:lang w:eastAsia="en-US"/>
        </w:rPr>
        <w:t xml:space="preserve">et </w:t>
      </w:r>
      <w:r w:rsidR="00B634A4" w:rsidRPr="0044670F">
        <w:rPr>
          <w:lang w:eastAsia="en-US"/>
        </w:rPr>
        <w:t>le</w:t>
      </w:r>
      <w:r w:rsidR="00E36A42" w:rsidRPr="0044670F">
        <w:rPr>
          <w:lang w:eastAsia="en-US"/>
        </w:rPr>
        <w:t xml:space="preserve"> SIDA</w:t>
      </w:r>
      <w:r w:rsidRPr="0044670F">
        <w:rPr>
          <w:lang w:eastAsia="en-US"/>
        </w:rPr>
        <w:t xml:space="preserve"> en 201</w:t>
      </w:r>
      <w:r w:rsidR="00841AEB">
        <w:rPr>
          <w:lang w:eastAsia="en-US"/>
        </w:rPr>
        <w:t>4</w:t>
      </w:r>
      <w:r w:rsidRPr="0044670F">
        <w:rPr>
          <w:lang w:eastAsia="en-US"/>
        </w:rPr>
        <w:t xml:space="preserve"> avec </w:t>
      </w:r>
      <w:r w:rsidR="00841AEB">
        <w:rPr>
          <w:lang w:eastAsia="en-US"/>
        </w:rPr>
        <w:t>40,98</w:t>
      </w:r>
      <w:r w:rsidRPr="0044670F">
        <w:rPr>
          <w:lang w:eastAsia="en-US"/>
        </w:rPr>
        <w:t xml:space="preserve"> % du total. </w:t>
      </w:r>
      <w:r w:rsidR="00B634A4" w:rsidRPr="0044670F">
        <w:rPr>
          <w:lang w:eastAsia="en-US"/>
        </w:rPr>
        <w:t xml:space="preserve">Cela pourrait s’expliquer par le fait </w:t>
      </w:r>
      <w:r w:rsidR="00841AEB">
        <w:rPr>
          <w:lang w:eastAsia="en-US"/>
        </w:rPr>
        <w:t>de la prise en charge des malades (surtout les ARV),</w:t>
      </w:r>
      <w:r w:rsidRPr="0044670F">
        <w:rPr>
          <w:lang w:eastAsia="en-US"/>
        </w:rPr>
        <w:t xml:space="preserve"> Ensuite ce sont les soins </w:t>
      </w:r>
      <w:r w:rsidR="005F04BB">
        <w:rPr>
          <w:lang w:eastAsia="en-US"/>
        </w:rPr>
        <w:t xml:space="preserve">préventifs </w:t>
      </w:r>
      <w:r w:rsidRPr="0044670F">
        <w:rPr>
          <w:lang w:eastAsia="en-US"/>
        </w:rPr>
        <w:t xml:space="preserve">qui </w:t>
      </w:r>
      <w:r w:rsidR="005F04BB">
        <w:rPr>
          <w:lang w:eastAsia="en-US"/>
        </w:rPr>
        <w:t xml:space="preserve">ont </w:t>
      </w:r>
      <w:r w:rsidRPr="0044670F">
        <w:rPr>
          <w:lang w:eastAsia="en-US"/>
        </w:rPr>
        <w:t xml:space="preserve">occupent le deuxième poste </w:t>
      </w:r>
      <w:r w:rsidR="00B634A4" w:rsidRPr="0044670F">
        <w:rPr>
          <w:lang w:eastAsia="en-US"/>
        </w:rPr>
        <w:t xml:space="preserve">important </w:t>
      </w:r>
      <w:r w:rsidRPr="0044670F">
        <w:rPr>
          <w:lang w:eastAsia="en-US"/>
        </w:rPr>
        <w:t xml:space="preserve">de dépenses du </w:t>
      </w:r>
      <w:r w:rsidR="00E36A42" w:rsidRPr="0044670F">
        <w:rPr>
          <w:lang w:eastAsia="en-US"/>
        </w:rPr>
        <w:t xml:space="preserve">VIH </w:t>
      </w:r>
      <w:r w:rsidR="00B634A4" w:rsidRPr="0044670F">
        <w:rPr>
          <w:lang w:eastAsia="en-US"/>
        </w:rPr>
        <w:t>et du</w:t>
      </w:r>
      <w:r w:rsidR="00E36A42" w:rsidRPr="0044670F">
        <w:rPr>
          <w:lang w:eastAsia="en-US"/>
        </w:rPr>
        <w:t xml:space="preserve"> SIDA</w:t>
      </w:r>
      <w:r w:rsidRPr="0044670F">
        <w:rPr>
          <w:lang w:eastAsia="en-US"/>
        </w:rPr>
        <w:t xml:space="preserve"> avec </w:t>
      </w:r>
      <w:r w:rsidR="005F04BB">
        <w:rPr>
          <w:lang w:eastAsia="en-US"/>
        </w:rPr>
        <w:t>23,3</w:t>
      </w:r>
      <w:r w:rsidR="001529A5">
        <w:rPr>
          <w:lang w:eastAsia="en-US"/>
        </w:rPr>
        <w:t>8</w:t>
      </w:r>
      <w:r w:rsidRPr="0044670F">
        <w:rPr>
          <w:lang w:eastAsia="en-US"/>
        </w:rPr>
        <w:t xml:space="preserve"> % du total</w:t>
      </w:r>
      <w:r w:rsidR="005F04BB">
        <w:rPr>
          <w:lang w:eastAsia="en-US"/>
        </w:rPr>
        <w:t xml:space="preserve">. La gouvernance et l’administration du système et financement ont occupé environ 17 % du total. </w:t>
      </w:r>
    </w:p>
    <w:p w:rsidR="001B3201" w:rsidRDefault="001B3201">
      <w:pPr>
        <w:autoSpaceDE/>
        <w:autoSpaceDN/>
        <w:adjustRightInd/>
        <w:spacing w:after="200" w:line="276" w:lineRule="auto"/>
        <w:jc w:val="left"/>
        <w:rPr>
          <w:rFonts w:asciiTheme="majorHAnsi" w:eastAsiaTheme="majorEastAsia" w:hAnsiTheme="majorHAnsi" w:cstheme="majorBidi"/>
          <w:b/>
          <w:sz w:val="32"/>
          <w:szCs w:val="32"/>
          <w:lang w:eastAsia="en-US"/>
        </w:rPr>
      </w:pPr>
      <w:bookmarkStart w:id="89" w:name="_Toc413941270"/>
      <w:r>
        <w:br w:type="page"/>
      </w:r>
    </w:p>
    <w:p w:rsidR="006E2F4C" w:rsidRPr="0044670F" w:rsidRDefault="00484C05" w:rsidP="00947090">
      <w:pPr>
        <w:pStyle w:val="Titre1"/>
        <w:ind w:left="720" w:hanging="360"/>
      </w:pPr>
      <w:r>
        <w:t xml:space="preserve">7. </w:t>
      </w:r>
      <w:r w:rsidR="004246D2">
        <w:t>Ré</w:t>
      </w:r>
      <w:r w:rsidR="004246D2" w:rsidRPr="004246D2">
        <w:t>sultat</w:t>
      </w:r>
      <w:r w:rsidR="004246D2">
        <w:t>s des dé</w:t>
      </w:r>
      <w:r w:rsidR="004246D2" w:rsidRPr="004246D2">
        <w:t>penses de la</w:t>
      </w:r>
      <w:r w:rsidR="00B32172">
        <w:t xml:space="preserve"> </w:t>
      </w:r>
      <w:r w:rsidR="006E2F4C" w:rsidRPr="00450416">
        <w:t>S</w:t>
      </w:r>
      <w:r w:rsidR="00F66766" w:rsidRPr="00450416">
        <w:t xml:space="preserve">anté de la </w:t>
      </w:r>
      <w:r w:rsidR="006E2F4C" w:rsidRPr="00450416">
        <w:t>R</w:t>
      </w:r>
      <w:r w:rsidR="00F66766" w:rsidRPr="00450416">
        <w:t>eproduction</w:t>
      </w:r>
      <w:bookmarkEnd w:id="89"/>
    </w:p>
    <w:p w:rsidR="006E2F4C" w:rsidRPr="004246D2" w:rsidRDefault="00484C05" w:rsidP="00947090">
      <w:pPr>
        <w:pStyle w:val="Titre2"/>
        <w:ind w:left="1080" w:hanging="720"/>
        <w:rPr>
          <w:rStyle w:val="Lienhypertexte"/>
          <w:color w:val="000000"/>
          <w:u w:val="none"/>
        </w:rPr>
      </w:pPr>
      <w:r w:rsidRPr="00947090">
        <w:rPr>
          <w:rStyle w:val="Lienhypertexte"/>
          <w:color w:val="000000"/>
          <w:u w:val="none"/>
        </w:rPr>
        <w:t xml:space="preserve">7.1. </w:t>
      </w:r>
      <w:hyperlink w:anchor="_Toc224702735" w:history="1">
        <w:bookmarkStart w:id="90" w:name="_Toc413941271"/>
        <w:r w:rsidR="006E2F4C" w:rsidRPr="004246D2">
          <w:rPr>
            <w:rStyle w:val="Lienhypertexte"/>
            <w:color w:val="000000"/>
            <w:u w:val="none"/>
          </w:rPr>
          <w:t xml:space="preserve">Aperçu sur la situation </w:t>
        </w:r>
        <w:r w:rsidR="00F66766" w:rsidRPr="004246D2">
          <w:rPr>
            <w:rStyle w:val="Lienhypertexte"/>
            <w:color w:val="000000"/>
            <w:u w:val="none"/>
          </w:rPr>
          <w:t>de</w:t>
        </w:r>
        <w:r w:rsidR="006E2F4C" w:rsidRPr="004246D2">
          <w:rPr>
            <w:rStyle w:val="Lienhypertexte"/>
            <w:color w:val="000000"/>
            <w:u w:val="none"/>
          </w:rPr>
          <w:t xml:space="preserve"> la SR au Mali</w:t>
        </w:r>
        <w:bookmarkEnd w:id="90"/>
      </w:hyperlink>
    </w:p>
    <w:p w:rsidR="00E22E8A" w:rsidRPr="0011219A" w:rsidRDefault="00E22E8A" w:rsidP="00587784">
      <w:pPr>
        <w:spacing w:line="312" w:lineRule="auto"/>
        <w:rPr>
          <w:rStyle w:val="Lienhypertexte"/>
          <w:color w:val="000000" w:themeColor="text1"/>
          <w:u w:val="none"/>
        </w:rPr>
      </w:pPr>
      <w:r w:rsidRPr="0011219A">
        <w:rPr>
          <w:rStyle w:val="Lienhypertexte"/>
          <w:color w:val="000000" w:themeColor="text1"/>
          <w:u w:val="none"/>
        </w:rPr>
        <w:t>Par santé de la reproduction, on attend le bien</w:t>
      </w:r>
      <w:r w:rsidR="001B3201">
        <w:rPr>
          <w:rStyle w:val="Lienhypertexte"/>
          <w:color w:val="000000" w:themeColor="text1"/>
          <w:u w:val="none"/>
        </w:rPr>
        <w:t>-</w:t>
      </w:r>
      <w:r w:rsidRPr="0011219A">
        <w:rPr>
          <w:rStyle w:val="Lienhypertexte"/>
          <w:color w:val="000000" w:themeColor="text1"/>
          <w:u w:val="none"/>
        </w:rPr>
        <w:t xml:space="preserve">être général tant physique que mental et social de la personne humaine pour tout ce qui concerne l’appareil génital, ses fonctions et son fonctionnement et non pas seulement l’absence de maladie et </w:t>
      </w:r>
      <w:r w:rsidR="00414FA1" w:rsidRPr="0011219A">
        <w:rPr>
          <w:rStyle w:val="Lienhypertexte"/>
          <w:color w:val="000000" w:themeColor="text1"/>
          <w:u w:val="none"/>
        </w:rPr>
        <w:t>d’infirmité. L</w:t>
      </w:r>
      <w:r w:rsidR="00DF64D9" w:rsidRPr="0011219A">
        <w:rPr>
          <w:rStyle w:val="Lienhypertexte"/>
          <w:color w:val="000000" w:themeColor="text1"/>
          <w:u w:val="none"/>
        </w:rPr>
        <w:t>a Santé de la reproduction regroupe</w:t>
      </w:r>
      <w:r w:rsidR="00B32172">
        <w:rPr>
          <w:rStyle w:val="Lienhypertexte"/>
          <w:color w:val="000000" w:themeColor="text1"/>
          <w:u w:val="none"/>
        </w:rPr>
        <w:t xml:space="preserve"> </w:t>
      </w:r>
      <w:r w:rsidR="00F37D92" w:rsidRPr="0011219A">
        <w:rPr>
          <w:rStyle w:val="Lienhypertexte"/>
          <w:color w:val="000000" w:themeColor="text1"/>
          <w:u w:val="none"/>
        </w:rPr>
        <w:t>les</w:t>
      </w:r>
      <w:r w:rsidR="00B32172">
        <w:rPr>
          <w:rStyle w:val="Lienhypertexte"/>
          <w:color w:val="000000" w:themeColor="text1"/>
          <w:u w:val="none"/>
        </w:rPr>
        <w:t xml:space="preserve"> </w:t>
      </w:r>
      <w:r w:rsidR="00F37D92" w:rsidRPr="0011219A">
        <w:rPr>
          <w:rStyle w:val="Lienhypertexte"/>
          <w:color w:val="000000" w:themeColor="text1"/>
          <w:u w:val="none"/>
        </w:rPr>
        <w:t>domaines</w:t>
      </w:r>
      <w:r w:rsidR="00B32172">
        <w:rPr>
          <w:rStyle w:val="Lienhypertexte"/>
          <w:color w:val="000000" w:themeColor="text1"/>
          <w:u w:val="none"/>
        </w:rPr>
        <w:t xml:space="preserve">  </w:t>
      </w:r>
      <w:r w:rsidRPr="0011219A">
        <w:rPr>
          <w:rStyle w:val="Lienhypertexte"/>
          <w:color w:val="000000" w:themeColor="text1"/>
          <w:u w:val="none"/>
        </w:rPr>
        <w:t>suivants</w:t>
      </w:r>
      <w:r w:rsidR="00DF64D9" w:rsidRPr="0011219A">
        <w:rPr>
          <w:rStyle w:val="Lienhypertexte"/>
          <w:color w:val="000000" w:themeColor="text1"/>
          <w:u w:val="none"/>
        </w:rPr>
        <w:t> :</w:t>
      </w:r>
    </w:p>
    <w:p w:rsidR="00E22E8A" w:rsidRPr="0011219A" w:rsidRDefault="00E22E8A" w:rsidP="0011219A">
      <w:pPr>
        <w:pStyle w:val="Paragraphedeliste"/>
        <w:numPr>
          <w:ilvl w:val="0"/>
          <w:numId w:val="7"/>
        </w:numPr>
        <w:spacing w:line="312" w:lineRule="auto"/>
        <w:ind w:left="426"/>
        <w:rPr>
          <w:color w:val="000000" w:themeColor="text1"/>
        </w:rPr>
      </w:pPr>
      <w:r w:rsidRPr="0011219A">
        <w:rPr>
          <w:lang w:eastAsia="en-US"/>
        </w:rPr>
        <w:t xml:space="preserve">affections maternelles, </w:t>
      </w:r>
    </w:p>
    <w:p w:rsidR="00E22E8A" w:rsidRPr="0011219A" w:rsidRDefault="00E22E8A" w:rsidP="0011219A">
      <w:pPr>
        <w:pStyle w:val="Paragraphedeliste"/>
        <w:numPr>
          <w:ilvl w:val="0"/>
          <w:numId w:val="7"/>
        </w:numPr>
        <w:spacing w:line="312" w:lineRule="auto"/>
        <w:ind w:left="426"/>
        <w:rPr>
          <w:color w:val="000000" w:themeColor="text1"/>
        </w:rPr>
      </w:pPr>
      <w:r w:rsidRPr="0011219A">
        <w:rPr>
          <w:lang w:eastAsia="en-US"/>
        </w:rPr>
        <w:t xml:space="preserve">affections périnatales, </w:t>
      </w:r>
    </w:p>
    <w:p w:rsidR="00E22E8A" w:rsidRPr="0011219A" w:rsidRDefault="00E22E8A" w:rsidP="0011219A">
      <w:pPr>
        <w:pStyle w:val="Paragraphedeliste"/>
        <w:numPr>
          <w:ilvl w:val="0"/>
          <w:numId w:val="7"/>
        </w:numPr>
        <w:spacing w:line="312" w:lineRule="auto"/>
        <w:ind w:left="426"/>
        <w:rPr>
          <w:color w:val="000000" w:themeColor="text1"/>
        </w:rPr>
      </w:pPr>
      <w:r w:rsidRPr="0011219A">
        <w:rPr>
          <w:lang w:eastAsia="en-US"/>
        </w:rPr>
        <w:t xml:space="preserve">planification familiale, </w:t>
      </w:r>
    </w:p>
    <w:p w:rsidR="00DF64D9" w:rsidRPr="0011219A" w:rsidRDefault="00E22E8A" w:rsidP="0011219A">
      <w:pPr>
        <w:pStyle w:val="Paragraphedeliste"/>
        <w:numPr>
          <w:ilvl w:val="0"/>
          <w:numId w:val="7"/>
        </w:numPr>
        <w:spacing w:line="312" w:lineRule="auto"/>
        <w:ind w:left="426"/>
        <w:rPr>
          <w:rStyle w:val="Lienhypertexte"/>
          <w:color w:val="000000" w:themeColor="text1"/>
          <w:u w:val="none"/>
        </w:rPr>
      </w:pPr>
      <w:r w:rsidRPr="0011219A">
        <w:rPr>
          <w:lang w:eastAsia="en-US"/>
        </w:rPr>
        <w:t>autres maladies et problèmes liés à la Santé de la Reproduction.</w:t>
      </w:r>
    </w:p>
    <w:p w:rsidR="00475429" w:rsidRPr="0011219A" w:rsidRDefault="00885507" w:rsidP="00587784">
      <w:pPr>
        <w:pStyle w:val="Style10"/>
        <w:spacing w:line="312" w:lineRule="auto"/>
        <w:rPr>
          <w:rFonts w:ascii="Times New Roman" w:hAnsi="Times New Roman" w:cs="Times New Roman"/>
        </w:rPr>
      </w:pPr>
      <w:r w:rsidRPr="0011219A">
        <w:rPr>
          <w:rFonts w:ascii="Times New Roman" w:hAnsi="Times New Roman" w:cs="Times New Roman"/>
        </w:rPr>
        <w:t xml:space="preserve">Au Mali, le </w:t>
      </w:r>
      <w:r w:rsidR="00475429" w:rsidRPr="0011219A">
        <w:rPr>
          <w:rFonts w:ascii="Times New Roman" w:hAnsi="Times New Roman" w:cs="Times New Roman"/>
        </w:rPr>
        <w:t xml:space="preserve">pourcentage de population ayant accès à un service offrant les soins prénatals, l’accouchement assisté, les soins post natals, post-abortum et la PF dans un rayon de </w:t>
      </w:r>
      <w:r w:rsidR="001B3201">
        <w:rPr>
          <w:rFonts w:ascii="Times New Roman" w:hAnsi="Times New Roman" w:cs="Times New Roman"/>
        </w:rPr>
        <w:t>5 km est passé de 58% en 2008 à</w:t>
      </w:r>
      <w:r w:rsidR="00475429" w:rsidRPr="0011219A">
        <w:rPr>
          <w:rFonts w:ascii="Times New Roman" w:hAnsi="Times New Roman" w:cs="Times New Roman"/>
        </w:rPr>
        <w:t xml:space="preserve"> 56% en 2012. Le nombre de CSCom offrant les services de SR est passé de 873 en 2008 et à 1134 en 2012. Ceci a permis de rendre disponible le paquet minimum d’activité (PMA) complet en SR (CPN, accouchement, GATPA, postnatal, PF) à tous les niveaux.</w:t>
      </w:r>
    </w:p>
    <w:p w:rsidR="00510D31" w:rsidRPr="0011219A" w:rsidRDefault="00B77F4F" w:rsidP="00587784">
      <w:pPr>
        <w:spacing w:line="312" w:lineRule="auto"/>
      </w:pPr>
      <w:r w:rsidRPr="0011219A">
        <w:t xml:space="preserve">Concernant la référence/évacuation, elle est organisée dans 100% des CSRef. Le nombre de </w:t>
      </w:r>
      <w:r w:rsidR="001B3201">
        <w:t>SONUC est passé de 51 en 2008</w:t>
      </w:r>
      <w:r w:rsidRPr="0011219A">
        <w:t xml:space="preserve"> à 61 en 2012. Les prévisions du plan ont été dépassées pour la mise en place des structures SONUC. Par contre, celles des SONUB n’ont pas été atteintes</w:t>
      </w:r>
      <w:r w:rsidR="00510D31" w:rsidRPr="0011219A">
        <w:t>.</w:t>
      </w:r>
    </w:p>
    <w:p w:rsidR="00C232BB" w:rsidRPr="0011219A" w:rsidRDefault="00C232BB" w:rsidP="00587784">
      <w:pPr>
        <w:spacing w:line="312" w:lineRule="auto"/>
      </w:pPr>
      <w:r w:rsidRPr="0011219A">
        <w:t>Malgré les progrès réalisés, le taux de prévalence contraceptive est resté toujours faible (10,3% en 2012</w:t>
      </w:r>
      <w:r w:rsidR="00510D31" w:rsidRPr="0011219A">
        <w:t>- 2013</w:t>
      </w:r>
      <w:r w:rsidRPr="0011219A">
        <w:t xml:space="preserve"> selon l’EDSMV). Donc, la nécessité de renforcer les stratégies existantes et de développer de nouvelles stratégies pour toucher le maximum de cibles en milieu rural s’impose.</w:t>
      </w:r>
    </w:p>
    <w:p w:rsidR="00C232BB" w:rsidRPr="0011219A" w:rsidRDefault="00C232BB" w:rsidP="00587784">
      <w:pPr>
        <w:spacing w:line="312" w:lineRule="auto"/>
      </w:pPr>
      <w:r w:rsidRPr="0011219A">
        <w:t>Le taux de couverture de la PTME, est passé de 69% chez les femmes enceintes vues en CPN dans les sites PTME en 2008 contre une prévision de 30% au terme du plan. Ce taux a atteint les 95,5% en 2011.</w:t>
      </w:r>
    </w:p>
    <w:p w:rsidR="009E046B" w:rsidRPr="0011219A" w:rsidRDefault="009E046B" w:rsidP="00587784">
      <w:pPr>
        <w:spacing w:line="312" w:lineRule="auto"/>
        <w:rPr>
          <w:lang w:eastAsia="fr-FR"/>
        </w:rPr>
      </w:pPr>
      <w:r w:rsidRPr="0011219A">
        <w:rPr>
          <w:lang w:eastAsia="fr-FR"/>
        </w:rPr>
        <w:t xml:space="preserve">L’absence de cartographie des intervenants en matière de SR a renforcé l’incohérence entre les programmes et, l’on note également une incohérence dans le dialogue visant à identifier les priorités de SR et les stratégies efficaces entre les acteurs concernés, y compris les pouvoirs publics, le secteur privé, les communautés, la société civile et les partenaires techniques et financiers. </w:t>
      </w:r>
    </w:p>
    <w:p w:rsidR="009E046B" w:rsidRPr="0011219A" w:rsidRDefault="009E046B" w:rsidP="001B3201">
      <w:pPr>
        <w:pStyle w:val="Style10"/>
        <w:spacing w:line="360" w:lineRule="auto"/>
        <w:rPr>
          <w:rStyle w:val="FontStyle37"/>
        </w:rPr>
      </w:pPr>
      <w:r w:rsidRPr="0011219A">
        <w:rPr>
          <w:rFonts w:ascii="Times New Roman" w:hAnsi="Times New Roman" w:cs="Times New Roman"/>
        </w:rPr>
        <w:t>La faiblesse des mécanismes de concertation limite cependant l’implication des communautés dans l’élaboration et la mise en œuvre des interventions de SR.</w:t>
      </w:r>
    </w:p>
    <w:p w:rsidR="00510D31" w:rsidRPr="0011219A" w:rsidRDefault="00C21A3A" w:rsidP="001B3201">
      <w:pPr>
        <w:pStyle w:val="Style10"/>
        <w:spacing w:line="360" w:lineRule="auto"/>
        <w:rPr>
          <w:rFonts w:ascii="Times New Roman" w:hAnsi="Times New Roman" w:cs="Times New Roman"/>
        </w:rPr>
      </w:pPr>
      <w:r w:rsidRPr="0011219A">
        <w:rPr>
          <w:rFonts w:ascii="Times New Roman" w:hAnsi="Times New Roman" w:cs="Times New Roman"/>
        </w:rPr>
        <w:t>Il n’existe pas d’affectation budgétaire directe pour la santé de la reproduction à cause des difficultés de délimitation de celle-ci avec les autres domaines de santé. En outre les mécanismes de tiers payants y compris la gratuité de certains actes comme la césarienne et la prise en charge du paludisme chez les enfants de moins de 5 ans et les femmes enceintes, restent timides en termes de couverture du risque maladie. Ces difficultés de financement ont été accentuées au cours des années 2012 et 2013 du fait de la crise sécuritaire et politique qui a occasionné l’arrêt et/ou la suspension de pl</w:t>
      </w:r>
      <w:r w:rsidR="0011219A">
        <w:rPr>
          <w:rFonts w:ascii="Times New Roman" w:hAnsi="Times New Roman" w:cs="Times New Roman"/>
        </w:rPr>
        <w:t>usieurs financements extérieurs</w:t>
      </w:r>
      <w:r w:rsidR="001B3201">
        <w:rPr>
          <w:rFonts w:ascii="Times New Roman" w:hAnsi="Times New Roman" w:cs="Times New Roman"/>
        </w:rPr>
        <w:t>.</w:t>
      </w:r>
    </w:p>
    <w:p w:rsidR="009E046B" w:rsidRPr="0011219A" w:rsidRDefault="009E046B" w:rsidP="001B3201">
      <w:pPr>
        <w:rPr>
          <w:lang w:eastAsia="fr-FR"/>
        </w:rPr>
      </w:pPr>
      <w:r w:rsidRPr="0011219A">
        <w:rPr>
          <w:lang w:eastAsia="fr-FR"/>
        </w:rPr>
        <w:t>La proportion du budget national alloué à la santé de la mère et du nouveau-né et à la planification familiale est difficile à évaluer. Cependant selon les données fournies par la DFM</w:t>
      </w:r>
      <w:r w:rsidR="001B3201">
        <w:rPr>
          <w:lang w:eastAsia="fr-FR"/>
        </w:rPr>
        <w:t xml:space="preserve"> du ministère de la santé</w:t>
      </w:r>
      <w:r w:rsidRPr="0011219A">
        <w:rPr>
          <w:lang w:eastAsia="fr-FR"/>
        </w:rPr>
        <w:t>, cette proportion a régressé de 2,1% en 2010 à 1,9% en 2012</w:t>
      </w:r>
      <w:r w:rsidR="00510D31" w:rsidRPr="0011219A">
        <w:rPr>
          <w:lang w:eastAsia="fr-FR"/>
        </w:rPr>
        <w:t>.</w:t>
      </w:r>
    </w:p>
    <w:p w:rsidR="006A5DBC" w:rsidRPr="0011219A" w:rsidRDefault="005861E6" w:rsidP="00947090">
      <w:pPr>
        <w:pStyle w:val="Titre2"/>
        <w:ind w:left="1080" w:hanging="720"/>
      </w:pPr>
      <w:bookmarkStart w:id="91" w:name="_Toc413941272"/>
      <w:r>
        <w:t xml:space="preserve">7.2. </w:t>
      </w:r>
      <w:r w:rsidR="004246D2">
        <w:t>Volume des dépenses liées à la santé de la r</w:t>
      </w:r>
      <w:r w:rsidR="006A5DBC" w:rsidRPr="0011219A">
        <w:t>eproduction</w:t>
      </w:r>
      <w:bookmarkEnd w:id="91"/>
    </w:p>
    <w:p w:rsidR="00D24462" w:rsidRPr="0011219A" w:rsidRDefault="00D24462" w:rsidP="00587784">
      <w:pPr>
        <w:spacing w:line="312" w:lineRule="auto"/>
        <w:rPr>
          <w:lang w:eastAsia="en-US"/>
        </w:rPr>
      </w:pPr>
      <w:r w:rsidRPr="0011219A">
        <w:rPr>
          <w:lang w:eastAsia="en-US"/>
        </w:rPr>
        <w:t>Le tableau ci-dessous donne la répartition de la dépense de la SR entre les affections maternelles, les affections périnatales, la planification familiale, les autres maladies et problèmes liés à la Santé de la Reproduction.</w:t>
      </w:r>
    </w:p>
    <w:p w:rsidR="00225E38" w:rsidRPr="0011219A" w:rsidRDefault="005861E6" w:rsidP="00947090">
      <w:pPr>
        <w:pStyle w:val="Titre3"/>
        <w:ind w:left="851" w:hanging="720"/>
        <w:rPr>
          <w:lang w:eastAsia="en-US"/>
        </w:rPr>
      </w:pPr>
      <w:bookmarkStart w:id="92" w:name="_Toc413941273"/>
      <w:r>
        <w:rPr>
          <w:lang w:eastAsia="en-US"/>
        </w:rPr>
        <w:t xml:space="preserve">7.2.1. </w:t>
      </w:r>
      <w:r w:rsidR="00225E38" w:rsidRPr="0011219A">
        <w:rPr>
          <w:lang w:eastAsia="en-US"/>
        </w:rPr>
        <w:t>Recette</w:t>
      </w:r>
      <w:r w:rsidR="004246D2">
        <w:rPr>
          <w:lang w:eastAsia="en-US"/>
        </w:rPr>
        <w:t>s</w:t>
      </w:r>
      <w:r w:rsidR="00225E38" w:rsidRPr="0011219A">
        <w:rPr>
          <w:lang w:eastAsia="en-US"/>
        </w:rPr>
        <w:t xml:space="preserve"> des régimes de </w:t>
      </w:r>
      <w:r w:rsidR="00F157C4">
        <w:rPr>
          <w:lang w:eastAsia="en-US"/>
        </w:rPr>
        <w:t>financement des dépenses de la santé de la r</w:t>
      </w:r>
      <w:r w:rsidR="00225E38" w:rsidRPr="0011219A">
        <w:rPr>
          <w:lang w:eastAsia="en-US"/>
        </w:rPr>
        <w:t>eproduction</w:t>
      </w:r>
      <w:bookmarkEnd w:id="92"/>
    </w:p>
    <w:p w:rsidR="00225E38" w:rsidRPr="0011219A" w:rsidRDefault="00225E38" w:rsidP="001B3201">
      <w:pPr>
        <w:spacing w:after="0" w:line="312" w:lineRule="auto"/>
        <w:rPr>
          <w:sz w:val="16"/>
          <w:szCs w:val="16"/>
          <w:lang w:eastAsia="fr-FR"/>
        </w:rPr>
      </w:pPr>
      <w:r w:rsidRPr="0011219A">
        <w:rPr>
          <w:lang w:eastAsia="en-US"/>
        </w:rPr>
        <w:t xml:space="preserve">Cette partie présente les différentes sources ayant  mobilisées des fonds pour la santé de la reproduction.  </w:t>
      </w: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5861E6" w:rsidRDefault="005861E6" w:rsidP="00EE25D6">
      <w:pPr>
        <w:pStyle w:val="Lgende"/>
        <w:spacing w:after="0"/>
        <w:ind w:left="1560" w:hanging="1560"/>
        <w:rPr>
          <w:color w:val="000000" w:themeColor="text1"/>
          <w:sz w:val="22"/>
          <w:szCs w:val="22"/>
        </w:rPr>
      </w:pPr>
    </w:p>
    <w:p w:rsidR="00225E38" w:rsidRPr="00D90EBA" w:rsidRDefault="00D90EBA" w:rsidP="00EE25D6">
      <w:pPr>
        <w:pStyle w:val="Lgende"/>
        <w:spacing w:after="0"/>
        <w:ind w:left="1560" w:hanging="1560"/>
        <w:rPr>
          <w:color w:val="000000" w:themeColor="text1"/>
          <w:sz w:val="22"/>
          <w:szCs w:val="22"/>
          <w:lang w:eastAsia="en-US"/>
        </w:rPr>
      </w:pPr>
      <w:bookmarkStart w:id="93" w:name="_Toc483991285"/>
      <w:r w:rsidRPr="00D90EBA">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7.2</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1</w:t>
      </w:r>
      <w:r w:rsidR="00E72F8E">
        <w:rPr>
          <w:color w:val="000000" w:themeColor="text1"/>
          <w:sz w:val="22"/>
          <w:szCs w:val="22"/>
        </w:rPr>
        <w:fldChar w:fldCharType="end"/>
      </w:r>
      <w:r w:rsidR="00225E38" w:rsidRPr="00D90EBA">
        <w:rPr>
          <w:color w:val="000000" w:themeColor="text1"/>
          <w:sz w:val="22"/>
          <w:szCs w:val="22"/>
          <w:lang w:eastAsia="en-US"/>
        </w:rPr>
        <w:t>: Répartition des dépenses de la Santé Reproduction Recett</w:t>
      </w:r>
      <w:r w:rsidR="00EE25D6">
        <w:rPr>
          <w:color w:val="000000" w:themeColor="text1"/>
          <w:sz w:val="22"/>
          <w:szCs w:val="22"/>
          <w:lang w:eastAsia="en-US"/>
        </w:rPr>
        <w:t xml:space="preserve">es de régimes de financement CS </w:t>
      </w:r>
      <w:r w:rsidR="001637FA" w:rsidRPr="00D90EBA">
        <w:rPr>
          <w:color w:val="000000" w:themeColor="text1"/>
          <w:sz w:val="22"/>
          <w:szCs w:val="22"/>
          <w:lang w:eastAsia="en-US"/>
        </w:rPr>
        <w:t>201</w:t>
      </w:r>
      <w:r w:rsidR="001637FA">
        <w:rPr>
          <w:color w:val="000000" w:themeColor="text1"/>
          <w:sz w:val="22"/>
          <w:szCs w:val="22"/>
          <w:lang w:eastAsia="en-US"/>
        </w:rPr>
        <w:t>4</w:t>
      </w:r>
      <w:bookmarkEnd w:id="93"/>
    </w:p>
    <w:tbl>
      <w:tblPr>
        <w:tblW w:w="10300" w:type="dxa"/>
        <w:tblInd w:w="80" w:type="dxa"/>
        <w:tblCellMar>
          <w:left w:w="70" w:type="dxa"/>
          <w:right w:w="70" w:type="dxa"/>
        </w:tblCellMar>
        <w:tblLook w:val="04A0"/>
      </w:tblPr>
      <w:tblGrid>
        <w:gridCol w:w="1794"/>
        <w:gridCol w:w="1900"/>
        <w:gridCol w:w="1587"/>
        <w:gridCol w:w="1161"/>
        <w:gridCol w:w="1220"/>
        <w:gridCol w:w="1502"/>
        <w:gridCol w:w="1320"/>
      </w:tblGrid>
      <w:tr w:rsidR="005861E6" w:rsidRPr="005861E6" w:rsidTr="00947090">
        <w:trPr>
          <w:trHeight w:val="315"/>
          <w:tblHeader/>
        </w:trPr>
        <w:tc>
          <w:tcPr>
            <w:tcW w:w="5097"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r w:rsidRPr="005861E6">
              <w:rPr>
                <w:rFonts w:eastAsia="Times New Roman"/>
                <w:b/>
                <w:lang w:eastAsia="fr-FR"/>
              </w:rPr>
              <w:t>Recettes des régimes</w:t>
            </w:r>
          </w:p>
        </w:tc>
        <w:tc>
          <w:tcPr>
            <w:tcW w:w="3883" w:type="dxa"/>
            <w:gridSpan w:val="3"/>
            <w:tcBorders>
              <w:top w:val="single" w:sz="8" w:space="0" w:color="auto"/>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r w:rsidRPr="005861E6">
              <w:rPr>
                <w:rFonts w:eastAsia="Times New Roman"/>
                <w:b/>
                <w:lang w:eastAsia="fr-FR"/>
              </w:rPr>
              <w:t>Dépenses</w:t>
            </w:r>
          </w:p>
        </w:tc>
        <w:tc>
          <w:tcPr>
            <w:tcW w:w="1320" w:type="dxa"/>
            <w:tcBorders>
              <w:top w:val="single" w:sz="8" w:space="0" w:color="auto"/>
              <w:left w:val="nil"/>
              <w:bottom w:val="single" w:sz="4" w:space="0" w:color="auto"/>
              <w:right w:val="single" w:sz="8" w:space="0" w:color="auto"/>
            </w:tcBorders>
            <w:shd w:val="clear" w:color="auto" w:fill="auto"/>
            <w:noWrap/>
            <w:vAlign w:val="center"/>
            <w:hideMark/>
          </w:tcPr>
          <w:p w:rsidR="005861E6" w:rsidRPr="005861E6" w:rsidRDefault="005861E6" w:rsidP="005861E6">
            <w:pPr>
              <w:autoSpaceDE/>
              <w:autoSpaceDN/>
              <w:adjustRightInd/>
              <w:spacing w:after="0" w:line="240" w:lineRule="auto"/>
              <w:jc w:val="center"/>
              <w:rPr>
                <w:rFonts w:eastAsia="Times New Roman"/>
                <w:b/>
                <w:lang w:eastAsia="fr-FR"/>
              </w:rPr>
            </w:pPr>
            <w:r w:rsidRPr="005861E6">
              <w:rPr>
                <w:rFonts w:eastAsia="Times New Roman"/>
                <w:b/>
                <w:lang w:eastAsia="fr-FR"/>
              </w:rPr>
              <w:t>%</w:t>
            </w:r>
          </w:p>
        </w:tc>
      </w:tr>
      <w:tr w:rsidR="005861E6" w:rsidRPr="005861E6" w:rsidTr="00947090">
        <w:trPr>
          <w:trHeight w:val="945"/>
        </w:trPr>
        <w:tc>
          <w:tcPr>
            <w:tcW w:w="1720" w:type="dxa"/>
            <w:vMerge w:val="restart"/>
            <w:tcBorders>
              <w:top w:val="nil"/>
              <w:left w:val="single" w:sz="8" w:space="0" w:color="auto"/>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r w:rsidRPr="005861E6">
              <w:rPr>
                <w:rFonts w:eastAsia="Times New Roman"/>
                <w:b/>
                <w:lang w:eastAsia="fr-FR"/>
              </w:rPr>
              <w:t>Transferts issus des revenus nationaux de l'administration publique (alloués à la santé)</w:t>
            </w: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Transferts internes et allocations</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689,48</w:t>
            </w:r>
          </w:p>
        </w:tc>
        <w:tc>
          <w:tcPr>
            <w:tcW w:w="15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r w:rsidRPr="005861E6">
              <w:rPr>
                <w:rFonts w:eastAsia="Times New Roman"/>
                <w:b/>
                <w:lang w:eastAsia="fr-FR"/>
              </w:rPr>
              <w:t>1668,31</w:t>
            </w:r>
          </w:p>
        </w:tc>
        <w:tc>
          <w:tcPr>
            <w:tcW w:w="132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5861E6" w:rsidRPr="005861E6" w:rsidRDefault="005861E6" w:rsidP="005861E6">
            <w:pPr>
              <w:autoSpaceDE/>
              <w:autoSpaceDN/>
              <w:adjustRightInd/>
              <w:spacing w:after="0" w:line="240" w:lineRule="auto"/>
              <w:jc w:val="center"/>
              <w:rPr>
                <w:rFonts w:eastAsia="Times New Roman"/>
                <w:b/>
                <w:lang w:eastAsia="fr-FR"/>
              </w:rPr>
            </w:pPr>
            <w:r w:rsidRPr="005861E6">
              <w:rPr>
                <w:rFonts w:eastAsia="Times New Roman"/>
                <w:b/>
                <w:lang w:eastAsia="fr-FR"/>
              </w:rPr>
              <w:t>4,78</w:t>
            </w:r>
          </w:p>
        </w:tc>
      </w:tr>
      <w:tr w:rsidR="005861E6" w:rsidRPr="005861E6" w:rsidTr="00947090">
        <w:trPr>
          <w:trHeight w:val="1890"/>
        </w:trPr>
        <w:tc>
          <w:tcPr>
            <w:tcW w:w="1720" w:type="dxa"/>
            <w:vMerge/>
            <w:tcBorders>
              <w:top w:val="nil"/>
              <w:left w:val="single" w:sz="8"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Transferts par l'administration publique pour le compte de groupes particuliers</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976,23</w:t>
            </w:r>
          </w:p>
        </w:tc>
        <w:tc>
          <w:tcPr>
            <w:tcW w:w="1502" w:type="dxa"/>
            <w:vMerge/>
            <w:tcBorders>
              <w:top w:val="nil"/>
              <w:left w:val="single" w:sz="4" w:space="0" w:color="auto"/>
              <w:bottom w:val="single" w:sz="4" w:space="0" w:color="000000"/>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p>
        </w:tc>
        <w:tc>
          <w:tcPr>
            <w:tcW w:w="1320" w:type="dxa"/>
            <w:vMerge/>
            <w:tcBorders>
              <w:top w:val="nil"/>
              <w:left w:val="single" w:sz="4" w:space="0" w:color="auto"/>
              <w:bottom w:val="single" w:sz="4" w:space="0" w:color="000000"/>
              <w:right w:val="single" w:sz="8" w:space="0" w:color="auto"/>
            </w:tcBorders>
            <w:vAlign w:val="center"/>
            <w:hideMark/>
          </w:tcPr>
          <w:p w:rsidR="005861E6" w:rsidRPr="005861E6" w:rsidRDefault="005861E6" w:rsidP="005861E6">
            <w:pPr>
              <w:autoSpaceDE/>
              <w:autoSpaceDN/>
              <w:adjustRightInd/>
              <w:spacing w:after="0" w:line="240" w:lineRule="auto"/>
              <w:jc w:val="left"/>
              <w:rPr>
                <w:rFonts w:eastAsia="Times New Roman"/>
                <w:b/>
                <w:lang w:eastAsia="fr-FR"/>
              </w:rPr>
            </w:pPr>
          </w:p>
        </w:tc>
      </w:tr>
      <w:tr w:rsidR="005861E6" w:rsidRPr="005861E6" w:rsidTr="00947090">
        <w:trPr>
          <w:trHeight w:val="315"/>
        </w:trPr>
        <w:tc>
          <w:tcPr>
            <w:tcW w:w="1720" w:type="dxa"/>
            <w:vMerge/>
            <w:tcBorders>
              <w:top w:val="nil"/>
              <w:left w:val="single" w:sz="8"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Subventions</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2,6</w:t>
            </w:r>
          </w:p>
        </w:tc>
        <w:tc>
          <w:tcPr>
            <w:tcW w:w="1502" w:type="dxa"/>
            <w:vMerge/>
            <w:tcBorders>
              <w:top w:val="nil"/>
              <w:left w:val="single" w:sz="4" w:space="0" w:color="auto"/>
              <w:bottom w:val="single" w:sz="4" w:space="0" w:color="000000"/>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p>
        </w:tc>
        <w:tc>
          <w:tcPr>
            <w:tcW w:w="1320" w:type="dxa"/>
            <w:vMerge/>
            <w:tcBorders>
              <w:top w:val="nil"/>
              <w:left w:val="single" w:sz="4" w:space="0" w:color="auto"/>
              <w:bottom w:val="single" w:sz="4" w:space="0" w:color="000000"/>
              <w:right w:val="single" w:sz="8" w:space="0" w:color="auto"/>
            </w:tcBorders>
            <w:vAlign w:val="center"/>
            <w:hideMark/>
          </w:tcPr>
          <w:p w:rsidR="005861E6" w:rsidRPr="005861E6" w:rsidRDefault="005861E6" w:rsidP="005861E6">
            <w:pPr>
              <w:autoSpaceDE/>
              <w:autoSpaceDN/>
              <w:adjustRightInd/>
              <w:spacing w:after="0" w:line="240" w:lineRule="auto"/>
              <w:jc w:val="left"/>
              <w:rPr>
                <w:rFonts w:eastAsia="Times New Roman"/>
                <w:b/>
                <w:lang w:eastAsia="fr-FR"/>
              </w:rPr>
            </w:pPr>
          </w:p>
        </w:tc>
      </w:tr>
      <w:tr w:rsidR="005861E6" w:rsidRPr="005861E6" w:rsidTr="00947090">
        <w:trPr>
          <w:trHeight w:val="945"/>
        </w:trPr>
        <w:tc>
          <w:tcPr>
            <w:tcW w:w="1720" w:type="dxa"/>
            <w:vMerge w:val="restart"/>
            <w:tcBorders>
              <w:top w:val="nil"/>
              <w:left w:val="single" w:sz="8" w:space="0" w:color="auto"/>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r w:rsidRPr="005861E6">
              <w:rPr>
                <w:rFonts w:eastAsia="Times New Roman"/>
                <w:b/>
                <w:lang w:eastAsia="fr-FR"/>
              </w:rPr>
              <w:t>Transferts d'origine étrangère distribués par l'administration publique</w:t>
            </w: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Appui budgétaire sectoriel (ABS)</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64</w:t>
            </w:r>
          </w:p>
        </w:tc>
        <w:tc>
          <w:tcPr>
            <w:tcW w:w="15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r w:rsidRPr="005861E6">
              <w:rPr>
                <w:rFonts w:eastAsia="Times New Roman"/>
                <w:b/>
                <w:lang w:eastAsia="fr-FR"/>
              </w:rPr>
              <w:t>4 603,66</w:t>
            </w:r>
          </w:p>
        </w:tc>
        <w:tc>
          <w:tcPr>
            <w:tcW w:w="132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5861E6" w:rsidRPr="005861E6" w:rsidRDefault="005861E6" w:rsidP="005861E6">
            <w:pPr>
              <w:autoSpaceDE/>
              <w:autoSpaceDN/>
              <w:adjustRightInd/>
              <w:spacing w:after="0" w:line="240" w:lineRule="auto"/>
              <w:jc w:val="center"/>
              <w:rPr>
                <w:rFonts w:eastAsia="Times New Roman"/>
                <w:b/>
                <w:lang w:eastAsia="fr-FR"/>
              </w:rPr>
            </w:pPr>
            <w:r w:rsidRPr="005861E6">
              <w:rPr>
                <w:rFonts w:eastAsia="Times New Roman"/>
                <w:b/>
                <w:lang w:eastAsia="fr-FR"/>
              </w:rPr>
              <w:t>13,20</w:t>
            </w:r>
          </w:p>
        </w:tc>
      </w:tr>
      <w:tr w:rsidR="005861E6" w:rsidRPr="005861E6" w:rsidTr="00947090">
        <w:trPr>
          <w:trHeight w:val="945"/>
        </w:trPr>
        <w:tc>
          <w:tcPr>
            <w:tcW w:w="1720" w:type="dxa"/>
            <w:vMerge/>
            <w:tcBorders>
              <w:top w:val="nil"/>
              <w:left w:val="single" w:sz="8"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Appui par programme/projet</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4 539,66</w:t>
            </w:r>
          </w:p>
        </w:tc>
        <w:tc>
          <w:tcPr>
            <w:tcW w:w="1502"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p>
        </w:tc>
        <w:tc>
          <w:tcPr>
            <w:tcW w:w="1320" w:type="dxa"/>
            <w:vMerge/>
            <w:tcBorders>
              <w:top w:val="nil"/>
              <w:left w:val="single" w:sz="4" w:space="0" w:color="auto"/>
              <w:bottom w:val="single" w:sz="4" w:space="0" w:color="000000"/>
              <w:right w:val="single" w:sz="8" w:space="0" w:color="auto"/>
            </w:tcBorders>
            <w:vAlign w:val="center"/>
            <w:hideMark/>
          </w:tcPr>
          <w:p w:rsidR="005861E6" w:rsidRPr="005861E6" w:rsidRDefault="005861E6" w:rsidP="005861E6">
            <w:pPr>
              <w:autoSpaceDE/>
              <w:autoSpaceDN/>
              <w:adjustRightInd/>
              <w:spacing w:after="0" w:line="240" w:lineRule="auto"/>
              <w:jc w:val="left"/>
              <w:rPr>
                <w:rFonts w:eastAsia="Times New Roman"/>
                <w:b/>
                <w:lang w:eastAsia="fr-FR"/>
              </w:rPr>
            </w:pPr>
          </w:p>
        </w:tc>
      </w:tr>
      <w:tr w:rsidR="005861E6" w:rsidRPr="005861E6" w:rsidTr="00947090">
        <w:trPr>
          <w:trHeight w:val="1260"/>
        </w:trPr>
        <w:tc>
          <w:tcPr>
            <w:tcW w:w="1720" w:type="dxa"/>
            <w:vMerge w:val="restart"/>
            <w:tcBorders>
              <w:top w:val="nil"/>
              <w:left w:val="single" w:sz="8" w:space="0" w:color="auto"/>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r w:rsidRPr="005861E6">
              <w:rPr>
                <w:rFonts w:eastAsia="Times New Roman"/>
                <w:b/>
                <w:lang w:eastAsia="fr-FR"/>
              </w:rPr>
              <w:t>Cotisations d'assurance sociale</w:t>
            </w: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Cotisations d'assurance sociale venant des employés</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70,7</w:t>
            </w:r>
          </w:p>
        </w:tc>
        <w:tc>
          <w:tcPr>
            <w:tcW w:w="15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r w:rsidRPr="005861E6">
              <w:rPr>
                <w:rFonts w:eastAsia="Times New Roman"/>
                <w:b/>
                <w:lang w:eastAsia="fr-FR"/>
              </w:rPr>
              <w:t>166,55</w:t>
            </w:r>
          </w:p>
        </w:tc>
        <w:tc>
          <w:tcPr>
            <w:tcW w:w="132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5861E6" w:rsidRPr="005861E6" w:rsidRDefault="005861E6" w:rsidP="005861E6">
            <w:pPr>
              <w:autoSpaceDE/>
              <w:autoSpaceDN/>
              <w:adjustRightInd/>
              <w:spacing w:after="0" w:line="240" w:lineRule="auto"/>
              <w:jc w:val="center"/>
              <w:rPr>
                <w:rFonts w:eastAsia="Times New Roman"/>
                <w:b/>
                <w:lang w:eastAsia="fr-FR"/>
              </w:rPr>
            </w:pPr>
            <w:r w:rsidRPr="005861E6">
              <w:rPr>
                <w:rFonts w:eastAsia="Times New Roman"/>
                <w:b/>
                <w:lang w:eastAsia="fr-FR"/>
              </w:rPr>
              <w:t>0,48</w:t>
            </w:r>
          </w:p>
        </w:tc>
      </w:tr>
      <w:tr w:rsidR="005861E6" w:rsidRPr="005861E6" w:rsidTr="00947090">
        <w:trPr>
          <w:trHeight w:val="1260"/>
        </w:trPr>
        <w:tc>
          <w:tcPr>
            <w:tcW w:w="1720" w:type="dxa"/>
            <w:vMerge/>
            <w:tcBorders>
              <w:top w:val="nil"/>
              <w:left w:val="single" w:sz="8"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Cotisations d'assurance sociale venant des employeurs</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95,85</w:t>
            </w:r>
          </w:p>
        </w:tc>
        <w:tc>
          <w:tcPr>
            <w:tcW w:w="1502"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p>
        </w:tc>
        <w:tc>
          <w:tcPr>
            <w:tcW w:w="1320" w:type="dxa"/>
            <w:vMerge/>
            <w:tcBorders>
              <w:top w:val="nil"/>
              <w:left w:val="single" w:sz="4" w:space="0" w:color="auto"/>
              <w:bottom w:val="single" w:sz="4" w:space="0" w:color="000000"/>
              <w:right w:val="single" w:sz="8" w:space="0" w:color="auto"/>
            </w:tcBorders>
            <w:vAlign w:val="center"/>
            <w:hideMark/>
          </w:tcPr>
          <w:p w:rsidR="005861E6" w:rsidRPr="005861E6" w:rsidRDefault="005861E6" w:rsidP="005861E6">
            <w:pPr>
              <w:autoSpaceDE/>
              <w:autoSpaceDN/>
              <w:adjustRightInd/>
              <w:spacing w:after="0" w:line="240" w:lineRule="auto"/>
              <w:jc w:val="left"/>
              <w:rPr>
                <w:rFonts w:eastAsia="Times New Roman"/>
                <w:b/>
                <w:lang w:eastAsia="fr-FR"/>
              </w:rPr>
            </w:pPr>
          </w:p>
        </w:tc>
      </w:tr>
      <w:tr w:rsidR="005861E6" w:rsidRPr="005861E6" w:rsidTr="00947090">
        <w:trPr>
          <w:trHeight w:val="1260"/>
        </w:trPr>
        <w:tc>
          <w:tcPr>
            <w:tcW w:w="1720" w:type="dxa"/>
            <w:tcBorders>
              <w:top w:val="nil"/>
              <w:left w:val="single" w:sz="8" w:space="0" w:color="auto"/>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r w:rsidRPr="005861E6">
              <w:rPr>
                <w:rFonts w:eastAsia="Times New Roman"/>
                <w:b/>
                <w:lang w:eastAsia="fr-FR"/>
              </w:rPr>
              <w:t>Prépaiement obligatoire (autres que FS.3)</w:t>
            </w: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Prépaiement obligatoire venant des employeurs</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r w:rsidRPr="005861E6">
              <w:rPr>
                <w:rFonts w:eastAsia="Times New Roman"/>
                <w:b/>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p>
        </w:tc>
        <w:tc>
          <w:tcPr>
            <w:tcW w:w="122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
                <w:i/>
                <w:iCs/>
                <w:lang w:eastAsia="fr-FR"/>
              </w:rPr>
            </w:pPr>
          </w:p>
        </w:tc>
        <w:tc>
          <w:tcPr>
            <w:tcW w:w="1502"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r w:rsidRPr="005861E6">
              <w:rPr>
                <w:rFonts w:eastAsia="Times New Roman"/>
                <w:b/>
                <w:lang w:eastAsia="fr-FR"/>
              </w:rPr>
              <w:t>0,12</w:t>
            </w:r>
          </w:p>
        </w:tc>
        <w:tc>
          <w:tcPr>
            <w:tcW w:w="1320" w:type="dxa"/>
            <w:tcBorders>
              <w:top w:val="nil"/>
              <w:left w:val="nil"/>
              <w:bottom w:val="single" w:sz="4" w:space="0" w:color="auto"/>
              <w:right w:val="single" w:sz="8" w:space="0" w:color="auto"/>
            </w:tcBorders>
            <w:shd w:val="clear" w:color="auto" w:fill="auto"/>
            <w:noWrap/>
            <w:vAlign w:val="center"/>
            <w:hideMark/>
          </w:tcPr>
          <w:p w:rsidR="005861E6" w:rsidRPr="005861E6" w:rsidRDefault="005861E6" w:rsidP="005861E6">
            <w:pPr>
              <w:autoSpaceDE/>
              <w:autoSpaceDN/>
              <w:adjustRightInd/>
              <w:spacing w:after="0" w:line="240" w:lineRule="auto"/>
              <w:jc w:val="center"/>
              <w:rPr>
                <w:rFonts w:eastAsia="Times New Roman"/>
                <w:b/>
                <w:lang w:eastAsia="fr-FR"/>
              </w:rPr>
            </w:pPr>
            <w:r w:rsidRPr="005861E6">
              <w:rPr>
                <w:rFonts w:eastAsia="Times New Roman"/>
                <w:b/>
                <w:lang w:eastAsia="fr-FR"/>
              </w:rPr>
              <w:t>0,0003</w:t>
            </w:r>
          </w:p>
        </w:tc>
      </w:tr>
      <w:tr w:rsidR="005861E6" w:rsidRPr="005861E6" w:rsidTr="00947090">
        <w:trPr>
          <w:trHeight w:val="1575"/>
        </w:trPr>
        <w:tc>
          <w:tcPr>
            <w:tcW w:w="1720" w:type="dxa"/>
            <w:vMerge w:val="restart"/>
            <w:tcBorders>
              <w:top w:val="nil"/>
              <w:left w:val="single" w:sz="8" w:space="0" w:color="auto"/>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r w:rsidRPr="005861E6">
              <w:rPr>
                <w:rFonts w:eastAsia="Times New Roman"/>
                <w:b/>
                <w:lang w:eastAsia="fr-FR"/>
              </w:rPr>
              <w:t>Prépaiement volontaire</w:t>
            </w: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Prépaiement volontaire venant des individus/des ménages</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24,94</w:t>
            </w:r>
          </w:p>
        </w:tc>
        <w:tc>
          <w:tcPr>
            <w:tcW w:w="15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r w:rsidRPr="005861E6">
              <w:rPr>
                <w:rFonts w:eastAsia="Times New Roman"/>
                <w:b/>
                <w:lang w:eastAsia="fr-FR"/>
              </w:rPr>
              <w:t>39,68</w:t>
            </w:r>
          </w:p>
        </w:tc>
        <w:tc>
          <w:tcPr>
            <w:tcW w:w="132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5861E6" w:rsidRPr="005861E6" w:rsidRDefault="005861E6" w:rsidP="005861E6">
            <w:pPr>
              <w:autoSpaceDE/>
              <w:autoSpaceDN/>
              <w:adjustRightInd/>
              <w:spacing w:after="0" w:line="240" w:lineRule="auto"/>
              <w:jc w:val="center"/>
              <w:rPr>
                <w:rFonts w:eastAsia="Times New Roman"/>
                <w:b/>
                <w:lang w:eastAsia="fr-FR"/>
              </w:rPr>
            </w:pPr>
            <w:r w:rsidRPr="005861E6">
              <w:rPr>
                <w:rFonts w:eastAsia="Times New Roman"/>
                <w:b/>
                <w:lang w:eastAsia="fr-FR"/>
              </w:rPr>
              <w:t>0,11</w:t>
            </w:r>
          </w:p>
        </w:tc>
      </w:tr>
      <w:tr w:rsidR="005861E6" w:rsidRPr="005861E6" w:rsidTr="00947090">
        <w:trPr>
          <w:trHeight w:val="1260"/>
        </w:trPr>
        <w:tc>
          <w:tcPr>
            <w:tcW w:w="1720" w:type="dxa"/>
            <w:vMerge/>
            <w:tcBorders>
              <w:top w:val="nil"/>
              <w:left w:val="single" w:sz="8"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Prépaiement volontaire venant des employeurs</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14,74</w:t>
            </w:r>
          </w:p>
        </w:tc>
        <w:tc>
          <w:tcPr>
            <w:tcW w:w="1502"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p>
        </w:tc>
        <w:tc>
          <w:tcPr>
            <w:tcW w:w="1320" w:type="dxa"/>
            <w:vMerge/>
            <w:tcBorders>
              <w:top w:val="nil"/>
              <w:left w:val="single" w:sz="4" w:space="0" w:color="auto"/>
              <w:bottom w:val="single" w:sz="4" w:space="0" w:color="000000"/>
              <w:right w:val="single" w:sz="8" w:space="0" w:color="auto"/>
            </w:tcBorders>
            <w:vAlign w:val="center"/>
            <w:hideMark/>
          </w:tcPr>
          <w:p w:rsidR="005861E6" w:rsidRPr="005861E6" w:rsidRDefault="005861E6" w:rsidP="005861E6">
            <w:pPr>
              <w:autoSpaceDE/>
              <w:autoSpaceDN/>
              <w:adjustRightInd/>
              <w:spacing w:after="0" w:line="240" w:lineRule="auto"/>
              <w:jc w:val="left"/>
              <w:rPr>
                <w:rFonts w:eastAsia="Times New Roman"/>
                <w:b/>
                <w:lang w:eastAsia="fr-FR"/>
              </w:rPr>
            </w:pPr>
          </w:p>
        </w:tc>
      </w:tr>
      <w:tr w:rsidR="005861E6" w:rsidRPr="005861E6" w:rsidTr="00947090">
        <w:trPr>
          <w:trHeight w:val="945"/>
        </w:trPr>
        <w:tc>
          <w:tcPr>
            <w:tcW w:w="1720" w:type="dxa"/>
            <w:vMerge w:val="restart"/>
            <w:tcBorders>
              <w:top w:val="nil"/>
              <w:left w:val="single" w:sz="8" w:space="0" w:color="auto"/>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r w:rsidRPr="005861E6">
              <w:rPr>
                <w:rFonts w:eastAsia="Times New Roman"/>
                <w:b/>
                <w:lang w:eastAsia="fr-FR"/>
              </w:rPr>
              <w:t>Autres revenus nationaux n.c.a.</w:t>
            </w: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Autres revenus venant des ménages n.c.a.</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2 589,77</w:t>
            </w:r>
          </w:p>
        </w:tc>
        <w:tc>
          <w:tcPr>
            <w:tcW w:w="15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r w:rsidRPr="005861E6">
              <w:rPr>
                <w:rFonts w:eastAsia="Times New Roman"/>
                <w:b/>
                <w:lang w:eastAsia="fr-FR"/>
              </w:rPr>
              <w:t>2 654,29</w:t>
            </w:r>
          </w:p>
        </w:tc>
        <w:tc>
          <w:tcPr>
            <w:tcW w:w="132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5861E6" w:rsidRPr="005861E6" w:rsidRDefault="005861E6" w:rsidP="005861E6">
            <w:pPr>
              <w:autoSpaceDE/>
              <w:autoSpaceDN/>
              <w:adjustRightInd/>
              <w:spacing w:after="0" w:line="240" w:lineRule="auto"/>
              <w:jc w:val="center"/>
              <w:rPr>
                <w:rFonts w:eastAsia="Times New Roman"/>
                <w:b/>
                <w:lang w:eastAsia="fr-FR"/>
              </w:rPr>
            </w:pPr>
            <w:r w:rsidRPr="005861E6">
              <w:rPr>
                <w:rFonts w:eastAsia="Times New Roman"/>
                <w:b/>
                <w:lang w:eastAsia="fr-FR"/>
              </w:rPr>
              <w:t>7,61</w:t>
            </w:r>
          </w:p>
        </w:tc>
      </w:tr>
      <w:tr w:rsidR="005861E6" w:rsidRPr="005861E6" w:rsidTr="00947090">
        <w:trPr>
          <w:trHeight w:val="1260"/>
        </w:trPr>
        <w:tc>
          <w:tcPr>
            <w:tcW w:w="1720" w:type="dxa"/>
            <w:vMerge/>
            <w:tcBorders>
              <w:top w:val="nil"/>
              <w:left w:val="single" w:sz="8"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Autres revenus venant des entreprises n.c.a.</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34,77</w:t>
            </w:r>
          </w:p>
        </w:tc>
        <w:tc>
          <w:tcPr>
            <w:tcW w:w="1502"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p>
        </w:tc>
        <w:tc>
          <w:tcPr>
            <w:tcW w:w="1320" w:type="dxa"/>
            <w:vMerge/>
            <w:tcBorders>
              <w:top w:val="nil"/>
              <w:left w:val="single" w:sz="4" w:space="0" w:color="auto"/>
              <w:bottom w:val="single" w:sz="4" w:space="0" w:color="000000"/>
              <w:right w:val="single" w:sz="8" w:space="0" w:color="auto"/>
            </w:tcBorders>
            <w:vAlign w:val="center"/>
            <w:hideMark/>
          </w:tcPr>
          <w:p w:rsidR="005861E6" w:rsidRPr="005861E6" w:rsidRDefault="005861E6" w:rsidP="005861E6">
            <w:pPr>
              <w:autoSpaceDE/>
              <w:autoSpaceDN/>
              <w:adjustRightInd/>
              <w:spacing w:after="0" w:line="240" w:lineRule="auto"/>
              <w:jc w:val="left"/>
              <w:rPr>
                <w:rFonts w:eastAsia="Times New Roman"/>
                <w:b/>
                <w:lang w:eastAsia="fr-FR"/>
              </w:rPr>
            </w:pPr>
          </w:p>
        </w:tc>
      </w:tr>
      <w:tr w:rsidR="005861E6" w:rsidRPr="005861E6" w:rsidTr="00947090">
        <w:trPr>
          <w:trHeight w:val="945"/>
        </w:trPr>
        <w:tc>
          <w:tcPr>
            <w:tcW w:w="1720" w:type="dxa"/>
            <w:vMerge/>
            <w:tcBorders>
              <w:top w:val="nil"/>
              <w:left w:val="single" w:sz="8"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p>
        </w:tc>
        <w:tc>
          <w:tcPr>
            <w:tcW w:w="1790"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Autres revenus venant des ISBLSM n.c.a.</w:t>
            </w:r>
          </w:p>
        </w:tc>
        <w:tc>
          <w:tcPr>
            <w:tcW w:w="1587"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29,75</w:t>
            </w:r>
          </w:p>
        </w:tc>
        <w:tc>
          <w:tcPr>
            <w:tcW w:w="1502"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p>
        </w:tc>
        <w:tc>
          <w:tcPr>
            <w:tcW w:w="1320" w:type="dxa"/>
            <w:vMerge/>
            <w:tcBorders>
              <w:top w:val="nil"/>
              <w:left w:val="single" w:sz="4" w:space="0" w:color="auto"/>
              <w:bottom w:val="single" w:sz="4" w:space="0" w:color="000000"/>
              <w:right w:val="single" w:sz="8" w:space="0" w:color="auto"/>
            </w:tcBorders>
            <w:vAlign w:val="center"/>
            <w:hideMark/>
          </w:tcPr>
          <w:p w:rsidR="005861E6" w:rsidRPr="005861E6" w:rsidRDefault="005861E6" w:rsidP="005861E6">
            <w:pPr>
              <w:autoSpaceDE/>
              <w:autoSpaceDN/>
              <w:adjustRightInd/>
              <w:spacing w:after="0" w:line="240" w:lineRule="auto"/>
              <w:jc w:val="left"/>
              <w:rPr>
                <w:rFonts w:eastAsia="Times New Roman"/>
                <w:b/>
                <w:lang w:eastAsia="fr-FR"/>
              </w:rPr>
            </w:pPr>
          </w:p>
        </w:tc>
      </w:tr>
      <w:tr w:rsidR="005861E6" w:rsidRPr="005861E6" w:rsidTr="00947090">
        <w:trPr>
          <w:trHeight w:val="1260"/>
        </w:trPr>
        <w:tc>
          <w:tcPr>
            <w:tcW w:w="1720" w:type="dxa"/>
            <w:vMerge w:val="restart"/>
            <w:tcBorders>
              <w:top w:val="nil"/>
              <w:left w:val="single" w:sz="8" w:space="0" w:color="auto"/>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r w:rsidRPr="005861E6">
              <w:rPr>
                <w:rFonts w:eastAsia="Times New Roman"/>
                <w:b/>
                <w:lang w:eastAsia="fr-FR"/>
              </w:rPr>
              <w:t>Transferts directs étrangers</w:t>
            </w:r>
          </w:p>
        </w:tc>
        <w:tc>
          <w:tcPr>
            <w:tcW w:w="1790" w:type="dxa"/>
            <w:vMerge w:val="restart"/>
            <w:tcBorders>
              <w:top w:val="nil"/>
              <w:left w:val="single" w:sz="4" w:space="0" w:color="auto"/>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r w:rsidRPr="005861E6">
              <w:rPr>
                <w:rFonts w:eastAsia="Times New Roman"/>
                <w:bCs w:val="0"/>
                <w:i/>
                <w:iCs/>
                <w:lang w:eastAsia="fr-FR"/>
              </w:rPr>
              <w:t>Transferts financiers directs étrangers</w:t>
            </w: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Transferts financiers directs bilatéraux</w:t>
            </w:r>
          </w:p>
        </w:tc>
        <w:tc>
          <w:tcPr>
            <w:tcW w:w="1161"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r w:rsidRPr="005861E6">
              <w:rPr>
                <w:rFonts w:eastAsia="Times New Roman"/>
                <w:bCs w:val="0"/>
                <w:lang w:eastAsia="fr-FR"/>
              </w:rPr>
              <w:t>18 865,66</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r w:rsidRPr="005861E6">
              <w:rPr>
                <w:rFonts w:eastAsia="Times New Roman"/>
                <w:bCs w:val="0"/>
                <w:i/>
                <w:iCs/>
                <w:lang w:eastAsia="fr-FR"/>
              </w:rPr>
              <w:t>25 736,38</w:t>
            </w:r>
          </w:p>
        </w:tc>
        <w:tc>
          <w:tcPr>
            <w:tcW w:w="15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r w:rsidRPr="005861E6">
              <w:rPr>
                <w:rFonts w:eastAsia="Times New Roman"/>
                <w:b/>
                <w:lang w:eastAsia="fr-FR"/>
              </w:rPr>
              <w:t>25 736,38</w:t>
            </w:r>
          </w:p>
        </w:tc>
        <w:tc>
          <w:tcPr>
            <w:tcW w:w="132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5861E6" w:rsidRPr="005861E6" w:rsidRDefault="005861E6" w:rsidP="005861E6">
            <w:pPr>
              <w:autoSpaceDE/>
              <w:autoSpaceDN/>
              <w:adjustRightInd/>
              <w:spacing w:after="0" w:line="240" w:lineRule="auto"/>
              <w:jc w:val="center"/>
              <w:rPr>
                <w:rFonts w:eastAsia="Times New Roman"/>
                <w:b/>
                <w:lang w:eastAsia="fr-FR"/>
              </w:rPr>
            </w:pPr>
            <w:r w:rsidRPr="005861E6">
              <w:rPr>
                <w:rFonts w:eastAsia="Times New Roman"/>
                <w:b/>
                <w:lang w:eastAsia="fr-FR"/>
              </w:rPr>
              <w:t>73,81</w:t>
            </w:r>
          </w:p>
        </w:tc>
      </w:tr>
      <w:tr w:rsidR="005861E6" w:rsidRPr="005861E6" w:rsidTr="00947090">
        <w:trPr>
          <w:trHeight w:val="1260"/>
        </w:trPr>
        <w:tc>
          <w:tcPr>
            <w:tcW w:w="1720" w:type="dxa"/>
            <w:vMerge/>
            <w:tcBorders>
              <w:top w:val="nil"/>
              <w:left w:val="single" w:sz="8"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p>
        </w:tc>
        <w:tc>
          <w:tcPr>
            <w:tcW w:w="1790"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Transferts financiers directs multilatéraux</w:t>
            </w:r>
          </w:p>
        </w:tc>
        <w:tc>
          <w:tcPr>
            <w:tcW w:w="1161"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r w:rsidRPr="005861E6">
              <w:rPr>
                <w:rFonts w:eastAsia="Times New Roman"/>
                <w:bCs w:val="0"/>
                <w:lang w:eastAsia="fr-FR"/>
              </w:rPr>
              <w:t>6 854,25</w:t>
            </w:r>
          </w:p>
        </w:tc>
        <w:tc>
          <w:tcPr>
            <w:tcW w:w="1220"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p>
        </w:tc>
        <w:tc>
          <w:tcPr>
            <w:tcW w:w="1502"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p>
        </w:tc>
        <w:tc>
          <w:tcPr>
            <w:tcW w:w="1320" w:type="dxa"/>
            <w:vMerge/>
            <w:tcBorders>
              <w:top w:val="nil"/>
              <w:left w:val="single" w:sz="4" w:space="0" w:color="auto"/>
              <w:bottom w:val="single" w:sz="4" w:space="0" w:color="000000"/>
              <w:right w:val="single" w:sz="8" w:space="0" w:color="auto"/>
            </w:tcBorders>
            <w:vAlign w:val="center"/>
            <w:hideMark/>
          </w:tcPr>
          <w:p w:rsidR="005861E6" w:rsidRPr="005861E6" w:rsidRDefault="005861E6" w:rsidP="005861E6">
            <w:pPr>
              <w:autoSpaceDE/>
              <w:autoSpaceDN/>
              <w:adjustRightInd/>
              <w:spacing w:after="0" w:line="240" w:lineRule="auto"/>
              <w:jc w:val="left"/>
              <w:rPr>
                <w:rFonts w:eastAsia="Times New Roman"/>
                <w:b/>
                <w:lang w:eastAsia="fr-FR"/>
              </w:rPr>
            </w:pPr>
          </w:p>
        </w:tc>
      </w:tr>
      <w:tr w:rsidR="005861E6" w:rsidRPr="005861E6" w:rsidTr="00947090">
        <w:trPr>
          <w:trHeight w:val="945"/>
        </w:trPr>
        <w:tc>
          <w:tcPr>
            <w:tcW w:w="1720" w:type="dxa"/>
            <w:vMerge/>
            <w:tcBorders>
              <w:top w:val="nil"/>
              <w:left w:val="single" w:sz="8"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p>
        </w:tc>
        <w:tc>
          <w:tcPr>
            <w:tcW w:w="1790"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left"/>
              <w:rPr>
                <w:rFonts w:eastAsia="Times New Roman"/>
                <w:bCs w:val="0"/>
                <w:i/>
                <w:iCs/>
                <w:lang w:eastAsia="fr-FR"/>
              </w:rPr>
            </w:pPr>
          </w:p>
        </w:tc>
        <w:tc>
          <w:tcPr>
            <w:tcW w:w="1587" w:type="dxa"/>
            <w:tcBorders>
              <w:top w:val="nil"/>
              <w:left w:val="nil"/>
              <w:bottom w:val="single" w:sz="4" w:space="0" w:color="auto"/>
              <w:right w:val="single" w:sz="4" w:space="0" w:color="auto"/>
            </w:tcBorders>
            <w:shd w:val="clear" w:color="auto" w:fill="auto"/>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Autres transferts financiers directs étrangers</w:t>
            </w:r>
          </w:p>
        </w:tc>
        <w:tc>
          <w:tcPr>
            <w:tcW w:w="1161" w:type="dxa"/>
            <w:tcBorders>
              <w:top w:val="nil"/>
              <w:left w:val="nil"/>
              <w:bottom w:val="single" w:sz="4"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r w:rsidRPr="005861E6">
              <w:rPr>
                <w:rFonts w:eastAsia="Times New Roman"/>
                <w:bCs w:val="0"/>
                <w:lang w:eastAsia="fr-FR"/>
              </w:rPr>
              <w:t>16,47</w:t>
            </w:r>
          </w:p>
        </w:tc>
        <w:tc>
          <w:tcPr>
            <w:tcW w:w="1220"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Cs w:val="0"/>
                <w:i/>
                <w:iCs/>
                <w:lang w:eastAsia="fr-FR"/>
              </w:rPr>
            </w:pPr>
          </w:p>
        </w:tc>
        <w:tc>
          <w:tcPr>
            <w:tcW w:w="1502" w:type="dxa"/>
            <w:vMerge/>
            <w:tcBorders>
              <w:top w:val="nil"/>
              <w:left w:val="single" w:sz="4" w:space="0" w:color="auto"/>
              <w:bottom w:val="single" w:sz="4" w:space="0" w:color="auto"/>
              <w:right w:val="single" w:sz="4" w:space="0" w:color="auto"/>
            </w:tcBorders>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p>
        </w:tc>
        <w:tc>
          <w:tcPr>
            <w:tcW w:w="1320" w:type="dxa"/>
            <w:vMerge/>
            <w:tcBorders>
              <w:top w:val="nil"/>
              <w:left w:val="single" w:sz="4" w:space="0" w:color="auto"/>
              <w:bottom w:val="single" w:sz="4" w:space="0" w:color="000000"/>
              <w:right w:val="single" w:sz="8" w:space="0" w:color="auto"/>
            </w:tcBorders>
            <w:vAlign w:val="center"/>
            <w:hideMark/>
          </w:tcPr>
          <w:p w:rsidR="005861E6" w:rsidRPr="005861E6" w:rsidRDefault="005861E6" w:rsidP="005861E6">
            <w:pPr>
              <w:autoSpaceDE/>
              <w:autoSpaceDN/>
              <w:adjustRightInd/>
              <w:spacing w:after="0" w:line="240" w:lineRule="auto"/>
              <w:jc w:val="left"/>
              <w:rPr>
                <w:rFonts w:eastAsia="Times New Roman"/>
                <w:b/>
                <w:lang w:eastAsia="fr-FR"/>
              </w:rPr>
            </w:pPr>
          </w:p>
        </w:tc>
      </w:tr>
      <w:tr w:rsidR="005861E6" w:rsidRPr="005861E6" w:rsidTr="00947090">
        <w:trPr>
          <w:trHeight w:val="330"/>
        </w:trPr>
        <w:tc>
          <w:tcPr>
            <w:tcW w:w="1720" w:type="dxa"/>
            <w:tcBorders>
              <w:top w:val="nil"/>
              <w:left w:val="single" w:sz="8" w:space="0" w:color="auto"/>
              <w:bottom w:val="single" w:sz="8"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left"/>
              <w:rPr>
                <w:rFonts w:eastAsia="Times New Roman"/>
                <w:b/>
                <w:lang w:eastAsia="fr-FR"/>
              </w:rPr>
            </w:pPr>
            <w:r w:rsidRPr="005861E6">
              <w:rPr>
                <w:rFonts w:eastAsia="Times New Roman"/>
                <w:b/>
                <w:lang w:eastAsia="fr-FR"/>
              </w:rPr>
              <w:t>Total</w:t>
            </w:r>
          </w:p>
        </w:tc>
        <w:tc>
          <w:tcPr>
            <w:tcW w:w="1790" w:type="dxa"/>
            <w:tcBorders>
              <w:top w:val="nil"/>
              <w:left w:val="nil"/>
              <w:bottom w:val="single" w:sz="8"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587" w:type="dxa"/>
            <w:tcBorders>
              <w:top w:val="nil"/>
              <w:left w:val="nil"/>
              <w:bottom w:val="single" w:sz="8"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left"/>
              <w:rPr>
                <w:rFonts w:eastAsia="Times New Roman"/>
                <w:bCs w:val="0"/>
                <w:lang w:eastAsia="fr-FR"/>
              </w:rPr>
            </w:pPr>
            <w:r w:rsidRPr="005861E6">
              <w:rPr>
                <w:rFonts w:eastAsia="Times New Roman"/>
                <w:bCs w:val="0"/>
                <w:lang w:eastAsia="fr-FR"/>
              </w:rPr>
              <w:t> </w:t>
            </w:r>
          </w:p>
        </w:tc>
        <w:tc>
          <w:tcPr>
            <w:tcW w:w="1161" w:type="dxa"/>
            <w:tcBorders>
              <w:top w:val="nil"/>
              <w:left w:val="nil"/>
              <w:bottom w:val="single" w:sz="8"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220" w:type="dxa"/>
            <w:tcBorders>
              <w:top w:val="nil"/>
              <w:left w:val="nil"/>
              <w:bottom w:val="single" w:sz="8"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Cs w:val="0"/>
                <w:lang w:eastAsia="fr-FR"/>
              </w:rPr>
            </w:pPr>
          </w:p>
        </w:tc>
        <w:tc>
          <w:tcPr>
            <w:tcW w:w="1502" w:type="dxa"/>
            <w:tcBorders>
              <w:top w:val="nil"/>
              <w:left w:val="nil"/>
              <w:bottom w:val="single" w:sz="8" w:space="0" w:color="auto"/>
              <w:right w:val="single" w:sz="4" w:space="0" w:color="auto"/>
            </w:tcBorders>
            <w:shd w:val="clear" w:color="auto" w:fill="auto"/>
            <w:noWrap/>
            <w:vAlign w:val="center"/>
            <w:hideMark/>
          </w:tcPr>
          <w:p w:rsidR="005861E6" w:rsidRPr="005861E6" w:rsidRDefault="005861E6" w:rsidP="00947090">
            <w:pPr>
              <w:autoSpaceDE/>
              <w:autoSpaceDN/>
              <w:adjustRightInd/>
              <w:spacing w:after="0" w:line="240" w:lineRule="auto"/>
              <w:jc w:val="center"/>
              <w:rPr>
                <w:rFonts w:eastAsia="Times New Roman"/>
                <w:b/>
                <w:lang w:eastAsia="fr-FR"/>
              </w:rPr>
            </w:pPr>
            <w:r w:rsidRPr="005861E6">
              <w:rPr>
                <w:rFonts w:eastAsia="Times New Roman"/>
                <w:b/>
                <w:lang w:eastAsia="fr-FR"/>
              </w:rPr>
              <w:t>34868,99</w:t>
            </w:r>
          </w:p>
        </w:tc>
        <w:tc>
          <w:tcPr>
            <w:tcW w:w="1320" w:type="dxa"/>
            <w:tcBorders>
              <w:top w:val="nil"/>
              <w:left w:val="nil"/>
              <w:bottom w:val="single" w:sz="8" w:space="0" w:color="auto"/>
              <w:right w:val="single" w:sz="8" w:space="0" w:color="auto"/>
            </w:tcBorders>
            <w:shd w:val="clear" w:color="auto" w:fill="auto"/>
            <w:noWrap/>
            <w:vAlign w:val="center"/>
            <w:hideMark/>
          </w:tcPr>
          <w:p w:rsidR="005861E6" w:rsidRPr="005861E6" w:rsidRDefault="005861E6" w:rsidP="005861E6">
            <w:pPr>
              <w:autoSpaceDE/>
              <w:autoSpaceDN/>
              <w:adjustRightInd/>
              <w:spacing w:after="0" w:line="240" w:lineRule="auto"/>
              <w:jc w:val="center"/>
              <w:rPr>
                <w:rFonts w:eastAsia="Times New Roman"/>
                <w:b/>
                <w:lang w:eastAsia="fr-FR"/>
              </w:rPr>
            </w:pPr>
            <w:r w:rsidRPr="005861E6">
              <w:rPr>
                <w:rFonts w:eastAsia="Times New Roman"/>
                <w:b/>
                <w:lang w:eastAsia="fr-FR"/>
              </w:rPr>
              <w:t>100,00</w:t>
            </w:r>
          </w:p>
        </w:tc>
      </w:tr>
    </w:tbl>
    <w:p w:rsidR="00225E38" w:rsidRPr="003913D3" w:rsidRDefault="00225E38" w:rsidP="00E508D1">
      <w:pPr>
        <w:spacing w:before="240" w:line="312" w:lineRule="auto"/>
        <w:rPr>
          <w:lang w:eastAsia="en-US"/>
        </w:rPr>
      </w:pPr>
      <w:r w:rsidRPr="003913D3">
        <w:rPr>
          <w:lang w:eastAsia="en-US"/>
        </w:rPr>
        <w:t>Les  ressources mobilisées pour le financement de la SR proviennent principalement des fonds extérieurs. Ces fonds sont estimés à 15,4 milliards de FCFA dont seulement 2 milliards transitent par l’administration publique. La contribution de l’Etat reste faible dans le financement de la SR (4,4%).  On note une part non négligeable des revenus nationaux dont les ménages, les ISBLSM et les entreprises (20%). Ce qui explique la large dépendance du financement  de la santé de la reproduction de l’extérieur, rendant  ainsi la politique de la SR vulnérable.</w:t>
      </w:r>
    </w:p>
    <w:p w:rsidR="00787EF0" w:rsidRPr="003913D3" w:rsidRDefault="005861E6" w:rsidP="00947090">
      <w:pPr>
        <w:pStyle w:val="Titre3"/>
        <w:ind w:left="1004" w:hanging="720"/>
        <w:rPr>
          <w:lang w:eastAsia="en-US"/>
        </w:rPr>
      </w:pPr>
      <w:bookmarkStart w:id="94" w:name="_Toc413941274"/>
      <w:r>
        <w:rPr>
          <w:lang w:eastAsia="en-US"/>
        </w:rPr>
        <w:t xml:space="preserve">7.2.2. </w:t>
      </w:r>
      <w:r w:rsidR="00787EF0" w:rsidRPr="003913D3">
        <w:rPr>
          <w:lang w:eastAsia="en-US"/>
        </w:rPr>
        <w:t>Régime</w:t>
      </w:r>
      <w:r w:rsidR="004246D2">
        <w:rPr>
          <w:lang w:eastAsia="en-US"/>
        </w:rPr>
        <w:t>s</w:t>
      </w:r>
      <w:r w:rsidR="00787EF0" w:rsidRPr="003913D3">
        <w:rPr>
          <w:lang w:eastAsia="en-US"/>
        </w:rPr>
        <w:t xml:space="preserve"> de financement des dépenses de la SR par région</w:t>
      </w:r>
      <w:bookmarkEnd w:id="94"/>
    </w:p>
    <w:p w:rsidR="00787EF0" w:rsidRPr="00E7266E" w:rsidRDefault="00787EF0" w:rsidP="00587784">
      <w:pPr>
        <w:spacing w:line="312" w:lineRule="auto"/>
        <w:rPr>
          <w:lang w:eastAsia="en-US"/>
        </w:rPr>
      </w:pPr>
      <w:r w:rsidRPr="00E7266E">
        <w:rPr>
          <w:lang w:eastAsia="en-US"/>
        </w:rPr>
        <w:t>Le tableau </w:t>
      </w:r>
      <w:r w:rsidR="00D90EBA" w:rsidRPr="00D90EBA">
        <w:rPr>
          <w:lang w:eastAsia="en-US"/>
        </w:rPr>
        <w:t xml:space="preserve">7.2.2 </w:t>
      </w:r>
      <w:r w:rsidRPr="00D90EBA">
        <w:rPr>
          <w:lang w:eastAsia="en-US"/>
        </w:rPr>
        <w:t>récapitule</w:t>
      </w:r>
      <w:r w:rsidRPr="00E7266E">
        <w:rPr>
          <w:lang w:eastAsia="en-US"/>
        </w:rPr>
        <w:t xml:space="preserve"> la répartition des dépenses de la SR et des femmes en âge de procréer par Région</w:t>
      </w:r>
    </w:p>
    <w:p w:rsidR="00787EF0" w:rsidRDefault="00D90EBA" w:rsidP="00D90EBA">
      <w:pPr>
        <w:pStyle w:val="Lgende"/>
        <w:ind w:left="1418" w:hanging="1418"/>
        <w:rPr>
          <w:color w:val="000000" w:themeColor="text1"/>
          <w:sz w:val="22"/>
          <w:szCs w:val="22"/>
          <w:lang w:eastAsia="fr-FR"/>
        </w:rPr>
      </w:pPr>
      <w:bookmarkStart w:id="95" w:name="_Toc483991286"/>
      <w:r w:rsidRPr="00D90EBA">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7.2</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2</w:t>
      </w:r>
      <w:r w:rsidR="00E72F8E">
        <w:rPr>
          <w:color w:val="000000" w:themeColor="text1"/>
          <w:sz w:val="22"/>
          <w:szCs w:val="22"/>
        </w:rPr>
        <w:fldChar w:fldCharType="end"/>
      </w:r>
      <w:r w:rsidR="00787EF0" w:rsidRPr="00D90EBA">
        <w:rPr>
          <w:color w:val="000000" w:themeColor="text1"/>
          <w:sz w:val="22"/>
          <w:szCs w:val="22"/>
          <w:lang w:eastAsia="en-US"/>
        </w:rPr>
        <w:t>:</w:t>
      </w:r>
      <w:r w:rsidR="00F157C4">
        <w:rPr>
          <w:color w:val="000000" w:themeColor="text1"/>
          <w:sz w:val="22"/>
          <w:szCs w:val="22"/>
          <w:lang w:eastAsia="fr-FR"/>
        </w:rPr>
        <w:t>Répartition des dépenses de la s</w:t>
      </w:r>
      <w:r w:rsidR="00787EF0" w:rsidRPr="00D90EBA">
        <w:rPr>
          <w:color w:val="000000" w:themeColor="text1"/>
          <w:sz w:val="22"/>
          <w:szCs w:val="22"/>
          <w:lang w:eastAsia="fr-FR"/>
        </w:rPr>
        <w:t>anté d</w:t>
      </w:r>
      <w:r w:rsidR="00F157C4">
        <w:rPr>
          <w:color w:val="000000" w:themeColor="text1"/>
          <w:sz w:val="22"/>
          <w:szCs w:val="22"/>
          <w:lang w:eastAsia="fr-FR"/>
        </w:rPr>
        <w:t>e la r</w:t>
      </w:r>
      <w:r w:rsidR="00787EF0" w:rsidRPr="00D90EBA">
        <w:rPr>
          <w:color w:val="000000" w:themeColor="text1"/>
          <w:sz w:val="22"/>
          <w:szCs w:val="22"/>
          <w:lang w:eastAsia="fr-FR"/>
        </w:rPr>
        <w:t>eproduction</w:t>
      </w:r>
      <w:r w:rsidR="00455C98">
        <w:rPr>
          <w:color w:val="000000" w:themeColor="text1"/>
          <w:sz w:val="22"/>
          <w:szCs w:val="22"/>
          <w:lang w:eastAsia="fr-FR"/>
        </w:rPr>
        <w:t xml:space="preserve"> </w:t>
      </w:r>
      <w:r w:rsidR="00787EF0" w:rsidRPr="00D90EBA">
        <w:rPr>
          <w:color w:val="000000" w:themeColor="text1"/>
          <w:sz w:val="22"/>
          <w:szCs w:val="22"/>
          <w:lang w:eastAsia="fr-FR"/>
        </w:rPr>
        <w:t>par région</w:t>
      </w:r>
      <w:bookmarkEnd w:id="95"/>
    </w:p>
    <w:tbl>
      <w:tblPr>
        <w:tblW w:w="5000" w:type="pct"/>
        <w:tblCellMar>
          <w:left w:w="70" w:type="dxa"/>
          <w:right w:w="70" w:type="dxa"/>
        </w:tblCellMar>
        <w:tblLook w:val="04A0"/>
      </w:tblPr>
      <w:tblGrid>
        <w:gridCol w:w="2213"/>
        <w:gridCol w:w="2136"/>
        <w:gridCol w:w="2058"/>
        <w:gridCol w:w="1518"/>
        <w:gridCol w:w="1621"/>
      </w:tblGrid>
      <w:tr w:rsidR="0000581B" w:rsidRPr="007347EB" w:rsidTr="00B32172">
        <w:trPr>
          <w:trHeight w:val="1124"/>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Régions</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Dépense (en million de francs CFA)</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Dépenses (en million de francs CFA) pour les Femme en âge de procréer (FAP)</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Effectif Femme en âge de procréer (FAP)</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Dépense/ FAP (en Francs CFA)</w:t>
            </w:r>
          </w:p>
        </w:tc>
      </w:tr>
      <w:tr w:rsidR="0000581B" w:rsidRPr="007347EB" w:rsidTr="00B32172">
        <w:trPr>
          <w:trHeight w:val="532"/>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Kayes</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5 321,23</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3 829,86</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558 125</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6 862</w:t>
            </w:r>
          </w:p>
        </w:tc>
      </w:tr>
      <w:tr w:rsidR="0000581B" w:rsidRPr="007347EB" w:rsidTr="00B32172">
        <w:trPr>
          <w:trHeight w:val="553"/>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Koulikoro</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3 965,49</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3 164,67</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677 975</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4 668</w:t>
            </w:r>
          </w:p>
        </w:tc>
      </w:tr>
      <w:tr w:rsidR="0000581B" w:rsidRPr="007347EB" w:rsidTr="00B32172">
        <w:trPr>
          <w:trHeight w:val="538"/>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Sikasso</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7 171,48</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5 782,19</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740 015</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7 814</w:t>
            </w:r>
          </w:p>
        </w:tc>
      </w:tr>
      <w:tr w:rsidR="0000581B" w:rsidRPr="007347EB" w:rsidTr="00B32172">
        <w:trPr>
          <w:trHeight w:val="546"/>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Ségou</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5 690,83</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4 280,00</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654 710</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6 537</w:t>
            </w:r>
          </w:p>
        </w:tc>
      </w:tr>
      <w:tr w:rsidR="0000581B" w:rsidRPr="007347EB" w:rsidTr="00B32172">
        <w:trPr>
          <w:trHeight w:val="563"/>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Mopti</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3 203,66</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2 618,40</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570 110</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4 593</w:t>
            </w:r>
          </w:p>
        </w:tc>
      </w:tr>
      <w:tr w:rsidR="0000581B" w:rsidRPr="007347EB" w:rsidTr="00B32172">
        <w:trPr>
          <w:trHeight w:val="685"/>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Tombouctou</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3 641,64</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2 461,78</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188 940</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13 029</w:t>
            </w:r>
          </w:p>
        </w:tc>
      </w:tr>
      <w:tr w:rsidR="0000581B" w:rsidRPr="007347EB" w:rsidTr="00B32172">
        <w:trPr>
          <w:trHeight w:val="553"/>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Gao</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3 499,75</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2 210,29</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151 810</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455C98" w:rsidP="0000581B">
            <w:pPr>
              <w:autoSpaceDE/>
              <w:autoSpaceDN/>
              <w:adjustRightInd/>
              <w:spacing w:after="0" w:line="240" w:lineRule="auto"/>
              <w:rPr>
                <w:rFonts w:eastAsia="Times New Roman"/>
                <w:b/>
                <w:lang w:eastAsia="fr-FR"/>
              </w:rPr>
            </w:pPr>
            <w:r>
              <w:rPr>
                <w:rFonts w:eastAsia="Times New Roman"/>
                <w:b/>
                <w:sz w:val="22"/>
                <w:szCs w:val="22"/>
                <w:lang w:eastAsia="fr-FR"/>
              </w:rPr>
              <w:t>12</w:t>
            </w:r>
            <w:r w:rsidR="0000581B" w:rsidRPr="0000581B">
              <w:rPr>
                <w:rFonts w:eastAsia="Times New Roman"/>
                <w:b/>
                <w:sz w:val="22"/>
                <w:szCs w:val="22"/>
                <w:lang w:eastAsia="fr-FR"/>
              </w:rPr>
              <w:t xml:space="preserve"> 560</w:t>
            </w:r>
          </w:p>
        </w:tc>
      </w:tr>
      <w:tr w:rsidR="0000581B" w:rsidRPr="007347EB" w:rsidTr="00B32172">
        <w:trPr>
          <w:trHeight w:val="690"/>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Kidal</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78,65</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70,51</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19 035</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3 704</w:t>
            </w:r>
          </w:p>
        </w:tc>
      </w:tr>
      <w:tr w:rsidR="0000581B" w:rsidRPr="007347EB" w:rsidTr="00B32172">
        <w:trPr>
          <w:trHeight w:val="671"/>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District de Bamako</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7 479,64</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6 708,36</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506 895</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13 234</w:t>
            </w:r>
          </w:p>
        </w:tc>
      </w:tr>
      <w:tr w:rsidR="0000581B" w:rsidRPr="007347EB" w:rsidTr="00B32172">
        <w:trPr>
          <w:trHeight w:val="554"/>
        </w:trPr>
        <w:tc>
          <w:tcPr>
            <w:tcW w:w="115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jc w:val="center"/>
              <w:rPr>
                <w:rFonts w:eastAsia="Times New Roman"/>
                <w:b/>
                <w:lang w:eastAsia="fr-FR"/>
              </w:rPr>
            </w:pPr>
            <w:r w:rsidRPr="0000581B">
              <w:rPr>
                <w:rFonts w:eastAsia="Times New Roman"/>
                <w:b/>
                <w:sz w:val="22"/>
                <w:szCs w:val="22"/>
                <w:lang w:eastAsia="fr-FR"/>
              </w:rPr>
              <w:t>Total</w:t>
            </w:r>
          </w:p>
        </w:tc>
        <w:tc>
          <w:tcPr>
            <w:tcW w:w="1119"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40 052,37</w:t>
            </w:r>
          </w:p>
        </w:tc>
        <w:tc>
          <w:tcPr>
            <w:tcW w:w="1078"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31 126,07</w:t>
            </w:r>
          </w:p>
        </w:tc>
        <w:tc>
          <w:tcPr>
            <w:tcW w:w="795" w:type="pct"/>
            <w:tcBorders>
              <w:top w:val="single" w:sz="8" w:space="0" w:color="auto"/>
              <w:left w:val="nil"/>
              <w:bottom w:val="single" w:sz="4" w:space="0" w:color="auto"/>
              <w:right w:val="single" w:sz="4"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4 067 615</w:t>
            </w:r>
          </w:p>
        </w:tc>
        <w:tc>
          <w:tcPr>
            <w:tcW w:w="849" w:type="pct"/>
            <w:tcBorders>
              <w:top w:val="single" w:sz="8" w:space="0" w:color="auto"/>
              <w:left w:val="nil"/>
              <w:bottom w:val="single" w:sz="4" w:space="0" w:color="auto"/>
              <w:right w:val="single" w:sz="8" w:space="0" w:color="auto"/>
            </w:tcBorders>
            <w:shd w:val="clear" w:color="auto" w:fill="auto"/>
            <w:vAlign w:val="center"/>
            <w:hideMark/>
          </w:tcPr>
          <w:p w:rsidR="0000581B" w:rsidRPr="0000581B" w:rsidRDefault="0000581B" w:rsidP="0000581B">
            <w:pPr>
              <w:autoSpaceDE/>
              <w:autoSpaceDN/>
              <w:adjustRightInd/>
              <w:spacing w:after="0" w:line="240" w:lineRule="auto"/>
              <w:rPr>
                <w:rFonts w:eastAsia="Times New Roman"/>
                <w:b/>
                <w:lang w:eastAsia="fr-FR"/>
              </w:rPr>
            </w:pPr>
            <w:r w:rsidRPr="0000581B">
              <w:rPr>
                <w:rFonts w:eastAsia="Times New Roman"/>
                <w:b/>
                <w:sz w:val="22"/>
                <w:szCs w:val="22"/>
                <w:lang w:eastAsia="fr-FR"/>
              </w:rPr>
              <w:t>7 652</w:t>
            </w:r>
          </w:p>
        </w:tc>
      </w:tr>
    </w:tbl>
    <w:p w:rsidR="0000581B" w:rsidRPr="007347EB" w:rsidRDefault="0000581B" w:rsidP="0000581B">
      <w:pPr>
        <w:spacing w:before="240" w:line="312" w:lineRule="auto"/>
        <w:rPr>
          <w:color w:val="auto"/>
          <w:lang w:eastAsia="en-US"/>
        </w:rPr>
      </w:pPr>
      <w:r w:rsidRPr="007347EB">
        <w:rPr>
          <w:color w:val="auto"/>
          <w:lang w:eastAsia="en-US"/>
        </w:rPr>
        <w:t>La distribution des dépenses de la SR par femme en âge de procréer et par région laisse apparaître que le district  de Bamako est la zone où la dépense de santé par femme en âge de procréer est la plus élevée. Elle est estimée   à 13234 FCFA contre 7652 pour l’ensemble du pays, cela dénote que les fonds destinés à la SR sont in équitablement</w:t>
      </w:r>
      <w:r w:rsidR="00B32172">
        <w:rPr>
          <w:color w:val="auto"/>
          <w:lang w:eastAsia="en-US"/>
        </w:rPr>
        <w:t xml:space="preserve">  </w:t>
      </w:r>
      <w:r w:rsidRPr="007347EB">
        <w:rPr>
          <w:color w:val="auto"/>
          <w:lang w:eastAsia="en-US"/>
        </w:rPr>
        <w:t>répartis en faveur du district de Bamako. Les régions de S Gao et de Tombouctou viennent avec respectivement avec respectivement  13029 FCFA et  12 560 F. La région de Kidal a la dépense la plus faible pour la même tranche avec 3704 FCFA.</w:t>
      </w:r>
    </w:p>
    <w:p w:rsidR="00E85F6F" w:rsidRPr="00CE3004" w:rsidRDefault="00975EA4" w:rsidP="00947090">
      <w:pPr>
        <w:pStyle w:val="Titre3"/>
        <w:ind w:left="1004" w:hanging="720"/>
        <w:rPr>
          <w:lang w:eastAsia="en-US"/>
        </w:rPr>
      </w:pPr>
      <w:r>
        <w:rPr>
          <w:lang w:eastAsia="en-US"/>
        </w:rPr>
        <w:t xml:space="preserve">7.2.3. </w:t>
      </w:r>
      <w:bookmarkStart w:id="96" w:name="_Toc413941275"/>
      <w:r w:rsidR="00E85F6F" w:rsidRPr="00CE3004">
        <w:rPr>
          <w:lang w:eastAsia="en-US"/>
        </w:rPr>
        <w:t>Répartition des dépenses de la SR par unité institutionnelle</w:t>
      </w:r>
      <w:bookmarkEnd w:id="96"/>
    </w:p>
    <w:p w:rsidR="00603B21" w:rsidRDefault="00E85F6F" w:rsidP="00947090">
      <w:pPr>
        <w:spacing w:line="312" w:lineRule="auto"/>
        <w:rPr>
          <w:color w:val="000000" w:themeColor="text1"/>
          <w:sz w:val="22"/>
          <w:szCs w:val="22"/>
        </w:rPr>
      </w:pPr>
      <w:r w:rsidRPr="00CE3004">
        <w:rPr>
          <w:lang w:eastAsia="en-US"/>
        </w:rPr>
        <w:t xml:space="preserve"> Le tableau récapitule les dépenses de la S</w:t>
      </w:r>
      <w:r w:rsidR="00E508D1">
        <w:rPr>
          <w:lang w:eastAsia="en-US"/>
        </w:rPr>
        <w:t>R par unités institutionnelles.</w:t>
      </w:r>
    </w:p>
    <w:p w:rsidR="00E85F6F" w:rsidRDefault="00D90EBA" w:rsidP="00D90EBA">
      <w:pPr>
        <w:pStyle w:val="Lgende"/>
        <w:rPr>
          <w:color w:val="000000" w:themeColor="text1"/>
          <w:sz w:val="22"/>
          <w:szCs w:val="22"/>
          <w:lang w:eastAsia="en-US"/>
        </w:rPr>
      </w:pPr>
      <w:bookmarkStart w:id="97" w:name="_Toc483991287"/>
      <w:r w:rsidRPr="00D90EBA">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7.2</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3</w:t>
      </w:r>
      <w:r w:rsidR="00E72F8E">
        <w:rPr>
          <w:color w:val="000000" w:themeColor="text1"/>
          <w:sz w:val="22"/>
          <w:szCs w:val="22"/>
        </w:rPr>
        <w:fldChar w:fldCharType="end"/>
      </w:r>
      <w:r w:rsidRPr="00D90EBA">
        <w:rPr>
          <w:color w:val="000000" w:themeColor="text1"/>
          <w:sz w:val="22"/>
          <w:szCs w:val="22"/>
          <w:lang w:eastAsia="en-US"/>
        </w:rPr>
        <w:t xml:space="preserve"> : R</w:t>
      </w:r>
      <w:r w:rsidR="00E85F6F" w:rsidRPr="00D90EBA">
        <w:rPr>
          <w:color w:val="000000" w:themeColor="text1"/>
          <w:sz w:val="22"/>
          <w:szCs w:val="22"/>
          <w:lang w:eastAsia="en-US"/>
        </w:rPr>
        <w:t>épartition des dépenses  de la Santé de la Reproduction par unités institutionnelles</w:t>
      </w:r>
      <w:bookmarkEnd w:id="97"/>
    </w:p>
    <w:p w:rsidR="00B32172" w:rsidRPr="00B32172" w:rsidRDefault="00B32172" w:rsidP="00B32172">
      <w:pPr>
        <w:rPr>
          <w:lang w:eastAsia="en-US"/>
        </w:rPr>
      </w:pPr>
    </w:p>
    <w:tbl>
      <w:tblPr>
        <w:tblW w:w="4788" w:type="pct"/>
        <w:tblCellMar>
          <w:left w:w="70" w:type="dxa"/>
          <w:right w:w="70" w:type="dxa"/>
        </w:tblCellMar>
        <w:tblLook w:val="04A0"/>
      </w:tblPr>
      <w:tblGrid>
        <w:gridCol w:w="3296"/>
        <w:gridCol w:w="3183"/>
        <w:gridCol w:w="2662"/>
      </w:tblGrid>
      <w:tr w:rsidR="00975EA4" w:rsidRPr="00975EA4" w:rsidTr="00750033">
        <w:trPr>
          <w:trHeight w:val="630"/>
        </w:trPr>
        <w:tc>
          <w:tcPr>
            <w:tcW w:w="1803"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975EA4" w:rsidRPr="00975EA4" w:rsidRDefault="00975EA4" w:rsidP="00975EA4">
            <w:pPr>
              <w:autoSpaceDE/>
              <w:autoSpaceDN/>
              <w:adjustRightInd/>
              <w:spacing w:after="0" w:line="240" w:lineRule="auto"/>
              <w:jc w:val="left"/>
              <w:rPr>
                <w:rFonts w:eastAsia="Times New Roman"/>
                <w:b/>
                <w:lang w:eastAsia="fr-FR"/>
              </w:rPr>
            </w:pPr>
            <w:r w:rsidRPr="00975EA4">
              <w:rPr>
                <w:rFonts w:eastAsia="Times New Roman"/>
                <w:b/>
                <w:lang w:eastAsia="fr-FR"/>
              </w:rPr>
              <w:t>Sources de financement</w:t>
            </w:r>
          </w:p>
        </w:tc>
        <w:tc>
          <w:tcPr>
            <w:tcW w:w="1741" w:type="pct"/>
            <w:tcBorders>
              <w:top w:val="single" w:sz="8" w:space="0" w:color="auto"/>
              <w:left w:val="nil"/>
              <w:bottom w:val="single" w:sz="4" w:space="0" w:color="auto"/>
              <w:right w:val="single" w:sz="4"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
                <w:lang w:eastAsia="fr-FR"/>
              </w:rPr>
            </w:pPr>
            <w:r w:rsidRPr="00975EA4">
              <w:rPr>
                <w:rFonts w:eastAsia="Times New Roman"/>
                <w:b/>
                <w:lang w:eastAsia="fr-FR"/>
              </w:rPr>
              <w:t>Dépenses</w:t>
            </w:r>
          </w:p>
        </w:tc>
        <w:tc>
          <w:tcPr>
            <w:tcW w:w="1456" w:type="pct"/>
            <w:tcBorders>
              <w:top w:val="single" w:sz="8" w:space="0" w:color="auto"/>
              <w:left w:val="nil"/>
              <w:bottom w:val="single" w:sz="4" w:space="0" w:color="auto"/>
              <w:right w:val="single" w:sz="8"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
                <w:lang w:eastAsia="fr-FR"/>
              </w:rPr>
            </w:pPr>
            <w:r w:rsidRPr="00975EA4">
              <w:rPr>
                <w:rFonts w:eastAsia="Times New Roman"/>
                <w:b/>
                <w:lang w:eastAsia="fr-FR"/>
              </w:rPr>
              <w:t>%</w:t>
            </w:r>
          </w:p>
        </w:tc>
      </w:tr>
      <w:tr w:rsidR="00975EA4" w:rsidRPr="00975EA4" w:rsidTr="00750033">
        <w:trPr>
          <w:trHeight w:val="570"/>
        </w:trPr>
        <w:tc>
          <w:tcPr>
            <w:tcW w:w="1803" w:type="pct"/>
            <w:tcBorders>
              <w:top w:val="nil"/>
              <w:left w:val="single" w:sz="8" w:space="0" w:color="auto"/>
              <w:bottom w:val="single" w:sz="4" w:space="0" w:color="auto"/>
              <w:right w:val="single" w:sz="4" w:space="0" w:color="auto"/>
            </w:tcBorders>
            <w:shd w:val="clear" w:color="auto" w:fill="auto"/>
            <w:vAlign w:val="center"/>
            <w:hideMark/>
          </w:tcPr>
          <w:p w:rsidR="00975EA4" w:rsidRPr="00975EA4" w:rsidRDefault="00975EA4" w:rsidP="00975EA4">
            <w:pPr>
              <w:autoSpaceDE/>
              <w:autoSpaceDN/>
              <w:adjustRightInd/>
              <w:spacing w:after="0" w:line="240" w:lineRule="auto"/>
              <w:jc w:val="left"/>
              <w:rPr>
                <w:rFonts w:eastAsia="Times New Roman"/>
                <w:b/>
                <w:lang w:eastAsia="fr-FR"/>
              </w:rPr>
            </w:pPr>
            <w:r w:rsidRPr="00975EA4">
              <w:rPr>
                <w:rFonts w:eastAsia="Times New Roman"/>
                <w:b/>
                <w:sz w:val="22"/>
                <w:szCs w:val="22"/>
                <w:lang w:eastAsia="fr-FR"/>
              </w:rPr>
              <w:t>Administration publique</w:t>
            </w:r>
          </w:p>
        </w:tc>
        <w:tc>
          <w:tcPr>
            <w:tcW w:w="1741" w:type="pct"/>
            <w:tcBorders>
              <w:top w:val="nil"/>
              <w:left w:val="nil"/>
              <w:bottom w:val="single" w:sz="4" w:space="0" w:color="auto"/>
              <w:right w:val="single" w:sz="4"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Cs w:val="0"/>
                <w:lang w:eastAsia="fr-FR"/>
              </w:rPr>
            </w:pPr>
            <w:r w:rsidRPr="00975EA4">
              <w:rPr>
                <w:rFonts w:eastAsia="Times New Roman"/>
                <w:bCs w:val="0"/>
                <w:sz w:val="22"/>
                <w:szCs w:val="22"/>
                <w:lang w:eastAsia="fr-FR"/>
              </w:rPr>
              <w:t>1 736,46</w:t>
            </w:r>
          </w:p>
        </w:tc>
        <w:tc>
          <w:tcPr>
            <w:tcW w:w="1456" w:type="pct"/>
            <w:tcBorders>
              <w:top w:val="nil"/>
              <w:left w:val="nil"/>
              <w:bottom w:val="single" w:sz="4" w:space="0" w:color="auto"/>
              <w:right w:val="single" w:sz="8"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Cs w:val="0"/>
                <w:lang w:eastAsia="fr-FR"/>
              </w:rPr>
            </w:pPr>
            <w:r w:rsidRPr="00975EA4">
              <w:rPr>
                <w:rFonts w:eastAsia="Times New Roman"/>
                <w:bCs w:val="0"/>
                <w:sz w:val="22"/>
                <w:szCs w:val="22"/>
                <w:lang w:eastAsia="fr-FR"/>
              </w:rPr>
              <w:t>4,98</w:t>
            </w:r>
          </w:p>
        </w:tc>
      </w:tr>
      <w:tr w:rsidR="00975EA4" w:rsidRPr="00975EA4" w:rsidTr="00750033">
        <w:trPr>
          <w:trHeight w:val="300"/>
        </w:trPr>
        <w:tc>
          <w:tcPr>
            <w:tcW w:w="1803" w:type="pct"/>
            <w:tcBorders>
              <w:top w:val="nil"/>
              <w:left w:val="single" w:sz="8" w:space="0" w:color="auto"/>
              <w:bottom w:val="single" w:sz="4" w:space="0" w:color="auto"/>
              <w:right w:val="single" w:sz="4" w:space="0" w:color="auto"/>
            </w:tcBorders>
            <w:shd w:val="clear" w:color="auto" w:fill="auto"/>
            <w:vAlign w:val="center"/>
            <w:hideMark/>
          </w:tcPr>
          <w:p w:rsidR="00975EA4" w:rsidRPr="00975EA4" w:rsidRDefault="00975EA4" w:rsidP="00975EA4">
            <w:pPr>
              <w:autoSpaceDE/>
              <w:autoSpaceDN/>
              <w:adjustRightInd/>
              <w:spacing w:after="0" w:line="240" w:lineRule="auto"/>
              <w:jc w:val="left"/>
              <w:rPr>
                <w:rFonts w:eastAsia="Times New Roman"/>
                <w:b/>
                <w:lang w:eastAsia="fr-FR"/>
              </w:rPr>
            </w:pPr>
            <w:r w:rsidRPr="00975EA4">
              <w:rPr>
                <w:rFonts w:eastAsia="Times New Roman"/>
                <w:b/>
                <w:sz w:val="22"/>
                <w:szCs w:val="22"/>
                <w:lang w:eastAsia="fr-FR"/>
              </w:rPr>
              <w:t>Entreprises</w:t>
            </w:r>
          </w:p>
        </w:tc>
        <w:tc>
          <w:tcPr>
            <w:tcW w:w="1741" w:type="pct"/>
            <w:tcBorders>
              <w:top w:val="nil"/>
              <w:left w:val="nil"/>
              <w:bottom w:val="single" w:sz="4" w:space="0" w:color="auto"/>
              <w:right w:val="single" w:sz="4"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Cs w:val="0"/>
                <w:lang w:eastAsia="fr-FR"/>
              </w:rPr>
            </w:pPr>
            <w:r w:rsidRPr="00975EA4">
              <w:rPr>
                <w:rFonts w:eastAsia="Times New Roman"/>
                <w:bCs w:val="0"/>
                <w:sz w:val="22"/>
                <w:szCs w:val="22"/>
                <w:lang w:eastAsia="fr-FR"/>
              </w:rPr>
              <w:t>77,29</w:t>
            </w:r>
          </w:p>
        </w:tc>
        <w:tc>
          <w:tcPr>
            <w:tcW w:w="1456" w:type="pct"/>
            <w:tcBorders>
              <w:top w:val="nil"/>
              <w:left w:val="nil"/>
              <w:bottom w:val="single" w:sz="4" w:space="0" w:color="auto"/>
              <w:right w:val="single" w:sz="8"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Cs w:val="0"/>
                <w:lang w:eastAsia="fr-FR"/>
              </w:rPr>
            </w:pPr>
            <w:r w:rsidRPr="00975EA4">
              <w:rPr>
                <w:rFonts w:eastAsia="Times New Roman"/>
                <w:bCs w:val="0"/>
                <w:sz w:val="22"/>
                <w:szCs w:val="22"/>
                <w:lang w:eastAsia="fr-FR"/>
              </w:rPr>
              <w:t>0,22</w:t>
            </w:r>
          </w:p>
        </w:tc>
      </w:tr>
      <w:tr w:rsidR="00975EA4" w:rsidRPr="00975EA4" w:rsidTr="00750033">
        <w:trPr>
          <w:trHeight w:val="300"/>
        </w:trPr>
        <w:tc>
          <w:tcPr>
            <w:tcW w:w="1803" w:type="pct"/>
            <w:tcBorders>
              <w:top w:val="nil"/>
              <w:left w:val="single" w:sz="8" w:space="0" w:color="auto"/>
              <w:bottom w:val="single" w:sz="4" w:space="0" w:color="auto"/>
              <w:right w:val="single" w:sz="4" w:space="0" w:color="auto"/>
            </w:tcBorders>
            <w:shd w:val="clear" w:color="auto" w:fill="auto"/>
            <w:vAlign w:val="center"/>
            <w:hideMark/>
          </w:tcPr>
          <w:p w:rsidR="00975EA4" w:rsidRPr="00975EA4" w:rsidRDefault="00975EA4" w:rsidP="00975EA4">
            <w:pPr>
              <w:autoSpaceDE/>
              <w:autoSpaceDN/>
              <w:adjustRightInd/>
              <w:spacing w:after="0" w:line="240" w:lineRule="auto"/>
              <w:jc w:val="left"/>
              <w:rPr>
                <w:rFonts w:eastAsia="Times New Roman"/>
                <w:b/>
                <w:lang w:eastAsia="fr-FR"/>
              </w:rPr>
            </w:pPr>
            <w:r w:rsidRPr="00975EA4">
              <w:rPr>
                <w:rFonts w:eastAsia="Times New Roman"/>
                <w:b/>
                <w:sz w:val="22"/>
                <w:szCs w:val="22"/>
                <w:lang w:eastAsia="fr-FR"/>
              </w:rPr>
              <w:t>Ménages</w:t>
            </w:r>
          </w:p>
        </w:tc>
        <w:tc>
          <w:tcPr>
            <w:tcW w:w="1741" w:type="pct"/>
            <w:tcBorders>
              <w:top w:val="nil"/>
              <w:left w:val="nil"/>
              <w:bottom w:val="single" w:sz="4" w:space="0" w:color="auto"/>
              <w:right w:val="single" w:sz="4"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Cs w:val="0"/>
                <w:lang w:eastAsia="fr-FR"/>
              </w:rPr>
            </w:pPr>
            <w:r w:rsidRPr="00975EA4">
              <w:rPr>
                <w:rFonts w:eastAsia="Times New Roman"/>
                <w:bCs w:val="0"/>
                <w:sz w:val="22"/>
                <w:szCs w:val="22"/>
                <w:lang w:eastAsia="fr-FR"/>
              </w:rPr>
              <w:t>2 685,44</w:t>
            </w:r>
          </w:p>
        </w:tc>
        <w:tc>
          <w:tcPr>
            <w:tcW w:w="1456" w:type="pct"/>
            <w:tcBorders>
              <w:top w:val="nil"/>
              <w:left w:val="nil"/>
              <w:bottom w:val="single" w:sz="4" w:space="0" w:color="auto"/>
              <w:right w:val="single" w:sz="8"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Cs w:val="0"/>
                <w:lang w:eastAsia="fr-FR"/>
              </w:rPr>
            </w:pPr>
            <w:r w:rsidRPr="00975EA4">
              <w:rPr>
                <w:rFonts w:eastAsia="Times New Roman"/>
                <w:bCs w:val="0"/>
                <w:sz w:val="22"/>
                <w:szCs w:val="22"/>
                <w:lang w:eastAsia="fr-FR"/>
              </w:rPr>
              <w:t>7,70</w:t>
            </w:r>
          </w:p>
        </w:tc>
      </w:tr>
      <w:tr w:rsidR="00975EA4" w:rsidRPr="00975EA4" w:rsidTr="00750033">
        <w:trPr>
          <w:trHeight w:val="300"/>
        </w:trPr>
        <w:tc>
          <w:tcPr>
            <w:tcW w:w="1803" w:type="pct"/>
            <w:tcBorders>
              <w:top w:val="nil"/>
              <w:left w:val="single" w:sz="8" w:space="0" w:color="auto"/>
              <w:bottom w:val="single" w:sz="4" w:space="0" w:color="auto"/>
              <w:right w:val="single" w:sz="4" w:space="0" w:color="auto"/>
            </w:tcBorders>
            <w:shd w:val="clear" w:color="auto" w:fill="auto"/>
            <w:vAlign w:val="center"/>
            <w:hideMark/>
          </w:tcPr>
          <w:p w:rsidR="00975EA4" w:rsidRPr="00975EA4" w:rsidRDefault="00975EA4" w:rsidP="00975EA4">
            <w:pPr>
              <w:autoSpaceDE/>
              <w:autoSpaceDN/>
              <w:adjustRightInd/>
              <w:spacing w:after="0" w:line="240" w:lineRule="auto"/>
              <w:jc w:val="left"/>
              <w:rPr>
                <w:rFonts w:eastAsia="Times New Roman"/>
                <w:b/>
                <w:lang w:eastAsia="fr-FR"/>
              </w:rPr>
            </w:pPr>
            <w:r w:rsidRPr="00975EA4">
              <w:rPr>
                <w:rFonts w:eastAsia="Times New Roman"/>
                <w:b/>
                <w:sz w:val="22"/>
                <w:szCs w:val="22"/>
                <w:lang w:eastAsia="fr-FR"/>
              </w:rPr>
              <w:t>ISBLSM</w:t>
            </w:r>
          </w:p>
        </w:tc>
        <w:tc>
          <w:tcPr>
            <w:tcW w:w="1741" w:type="pct"/>
            <w:tcBorders>
              <w:top w:val="nil"/>
              <w:left w:val="nil"/>
              <w:bottom w:val="single" w:sz="4" w:space="0" w:color="auto"/>
              <w:right w:val="single" w:sz="4"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Cs w:val="0"/>
                <w:lang w:eastAsia="fr-FR"/>
              </w:rPr>
            </w:pPr>
            <w:r w:rsidRPr="00975EA4">
              <w:rPr>
                <w:rFonts w:eastAsia="Times New Roman"/>
                <w:bCs w:val="0"/>
                <w:sz w:val="22"/>
                <w:szCs w:val="22"/>
                <w:lang w:eastAsia="fr-FR"/>
              </w:rPr>
              <w:t>32,12</w:t>
            </w:r>
          </w:p>
        </w:tc>
        <w:tc>
          <w:tcPr>
            <w:tcW w:w="1456" w:type="pct"/>
            <w:tcBorders>
              <w:top w:val="nil"/>
              <w:left w:val="nil"/>
              <w:bottom w:val="single" w:sz="4" w:space="0" w:color="auto"/>
              <w:right w:val="single" w:sz="8"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Cs w:val="0"/>
                <w:lang w:eastAsia="fr-FR"/>
              </w:rPr>
            </w:pPr>
            <w:r w:rsidRPr="00975EA4">
              <w:rPr>
                <w:rFonts w:eastAsia="Times New Roman"/>
                <w:bCs w:val="0"/>
                <w:sz w:val="22"/>
                <w:szCs w:val="22"/>
                <w:lang w:eastAsia="fr-FR"/>
              </w:rPr>
              <w:t>0,09</w:t>
            </w:r>
          </w:p>
        </w:tc>
      </w:tr>
      <w:tr w:rsidR="00975EA4" w:rsidRPr="00975EA4" w:rsidTr="00750033">
        <w:trPr>
          <w:trHeight w:val="300"/>
        </w:trPr>
        <w:tc>
          <w:tcPr>
            <w:tcW w:w="1803" w:type="pct"/>
            <w:tcBorders>
              <w:top w:val="nil"/>
              <w:left w:val="single" w:sz="8" w:space="0" w:color="auto"/>
              <w:bottom w:val="single" w:sz="4" w:space="0" w:color="auto"/>
              <w:right w:val="single" w:sz="4" w:space="0" w:color="auto"/>
            </w:tcBorders>
            <w:shd w:val="clear" w:color="auto" w:fill="auto"/>
            <w:vAlign w:val="center"/>
            <w:hideMark/>
          </w:tcPr>
          <w:p w:rsidR="00975EA4" w:rsidRPr="00975EA4" w:rsidRDefault="00975EA4" w:rsidP="00975EA4">
            <w:pPr>
              <w:autoSpaceDE/>
              <w:autoSpaceDN/>
              <w:adjustRightInd/>
              <w:spacing w:after="0" w:line="240" w:lineRule="auto"/>
              <w:jc w:val="left"/>
              <w:rPr>
                <w:rFonts w:eastAsia="Times New Roman"/>
                <w:b/>
                <w:lang w:eastAsia="fr-FR"/>
              </w:rPr>
            </w:pPr>
            <w:r w:rsidRPr="00975EA4">
              <w:rPr>
                <w:rFonts w:eastAsia="Times New Roman"/>
                <w:b/>
                <w:sz w:val="22"/>
                <w:szCs w:val="22"/>
                <w:lang w:eastAsia="fr-FR"/>
              </w:rPr>
              <w:t>Reste du monde</w:t>
            </w:r>
          </w:p>
        </w:tc>
        <w:tc>
          <w:tcPr>
            <w:tcW w:w="1741" w:type="pct"/>
            <w:tcBorders>
              <w:top w:val="nil"/>
              <w:left w:val="nil"/>
              <w:bottom w:val="single" w:sz="4" w:space="0" w:color="auto"/>
              <w:right w:val="single" w:sz="4"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Cs w:val="0"/>
                <w:lang w:eastAsia="fr-FR"/>
              </w:rPr>
            </w:pPr>
            <w:r w:rsidRPr="00975EA4">
              <w:rPr>
                <w:rFonts w:eastAsia="Times New Roman"/>
                <w:bCs w:val="0"/>
                <w:sz w:val="22"/>
                <w:szCs w:val="22"/>
                <w:lang w:eastAsia="fr-FR"/>
              </w:rPr>
              <w:t>30 337,67</w:t>
            </w:r>
          </w:p>
        </w:tc>
        <w:tc>
          <w:tcPr>
            <w:tcW w:w="1456" w:type="pct"/>
            <w:tcBorders>
              <w:top w:val="nil"/>
              <w:left w:val="nil"/>
              <w:bottom w:val="single" w:sz="4" w:space="0" w:color="auto"/>
              <w:right w:val="single" w:sz="8"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Cs w:val="0"/>
                <w:lang w:eastAsia="fr-FR"/>
              </w:rPr>
            </w:pPr>
            <w:r w:rsidRPr="00975EA4">
              <w:rPr>
                <w:rFonts w:eastAsia="Times New Roman"/>
                <w:bCs w:val="0"/>
                <w:sz w:val="22"/>
                <w:szCs w:val="22"/>
                <w:lang w:eastAsia="fr-FR"/>
              </w:rPr>
              <w:t>87,00</w:t>
            </w:r>
          </w:p>
        </w:tc>
      </w:tr>
      <w:tr w:rsidR="00975EA4" w:rsidRPr="00975EA4" w:rsidTr="00750033">
        <w:trPr>
          <w:trHeight w:val="315"/>
        </w:trPr>
        <w:tc>
          <w:tcPr>
            <w:tcW w:w="1803" w:type="pct"/>
            <w:tcBorders>
              <w:top w:val="nil"/>
              <w:left w:val="single" w:sz="8" w:space="0" w:color="auto"/>
              <w:bottom w:val="single" w:sz="8" w:space="0" w:color="auto"/>
              <w:right w:val="single" w:sz="4" w:space="0" w:color="auto"/>
            </w:tcBorders>
            <w:shd w:val="clear" w:color="auto" w:fill="auto"/>
            <w:noWrap/>
            <w:vAlign w:val="center"/>
            <w:hideMark/>
          </w:tcPr>
          <w:p w:rsidR="00975EA4" w:rsidRPr="00975EA4" w:rsidRDefault="00975EA4" w:rsidP="00975EA4">
            <w:pPr>
              <w:autoSpaceDE/>
              <w:autoSpaceDN/>
              <w:adjustRightInd/>
              <w:spacing w:after="0" w:line="240" w:lineRule="auto"/>
              <w:jc w:val="left"/>
              <w:rPr>
                <w:rFonts w:eastAsia="Times New Roman"/>
                <w:b/>
                <w:lang w:eastAsia="fr-FR"/>
              </w:rPr>
            </w:pPr>
            <w:r w:rsidRPr="00975EA4">
              <w:rPr>
                <w:rFonts w:eastAsia="Times New Roman"/>
                <w:b/>
                <w:sz w:val="22"/>
                <w:szCs w:val="22"/>
                <w:lang w:eastAsia="fr-FR"/>
              </w:rPr>
              <w:t>Total</w:t>
            </w:r>
          </w:p>
        </w:tc>
        <w:tc>
          <w:tcPr>
            <w:tcW w:w="1741" w:type="pct"/>
            <w:tcBorders>
              <w:top w:val="nil"/>
              <w:left w:val="nil"/>
              <w:bottom w:val="single" w:sz="8" w:space="0" w:color="auto"/>
              <w:right w:val="single" w:sz="4"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
                <w:lang w:eastAsia="fr-FR"/>
              </w:rPr>
            </w:pPr>
            <w:r w:rsidRPr="00975EA4">
              <w:rPr>
                <w:rFonts w:eastAsia="Times New Roman"/>
                <w:b/>
                <w:sz w:val="22"/>
                <w:szCs w:val="22"/>
                <w:lang w:eastAsia="fr-FR"/>
              </w:rPr>
              <w:t>34 868,98</w:t>
            </w:r>
          </w:p>
        </w:tc>
        <w:tc>
          <w:tcPr>
            <w:tcW w:w="1456" w:type="pct"/>
            <w:tcBorders>
              <w:top w:val="nil"/>
              <w:left w:val="nil"/>
              <w:bottom w:val="single" w:sz="8" w:space="0" w:color="auto"/>
              <w:right w:val="single" w:sz="8" w:space="0" w:color="auto"/>
            </w:tcBorders>
            <w:shd w:val="clear" w:color="auto" w:fill="auto"/>
            <w:noWrap/>
            <w:vAlign w:val="center"/>
            <w:hideMark/>
          </w:tcPr>
          <w:p w:rsidR="00975EA4" w:rsidRPr="00975EA4" w:rsidRDefault="00975EA4" w:rsidP="00947090">
            <w:pPr>
              <w:autoSpaceDE/>
              <w:autoSpaceDN/>
              <w:adjustRightInd/>
              <w:spacing w:after="0" w:line="240" w:lineRule="auto"/>
              <w:jc w:val="center"/>
              <w:rPr>
                <w:rFonts w:eastAsia="Times New Roman"/>
                <w:b/>
                <w:lang w:eastAsia="fr-FR"/>
              </w:rPr>
            </w:pPr>
            <w:r w:rsidRPr="00975EA4">
              <w:rPr>
                <w:rFonts w:eastAsia="Times New Roman"/>
                <w:b/>
                <w:sz w:val="22"/>
                <w:szCs w:val="22"/>
                <w:lang w:eastAsia="fr-FR"/>
              </w:rPr>
              <w:t>100,00</w:t>
            </w:r>
          </w:p>
        </w:tc>
      </w:tr>
    </w:tbl>
    <w:p w:rsidR="00E85F6F" w:rsidRPr="00CE3004" w:rsidRDefault="00975EA4" w:rsidP="00E508D1">
      <w:pPr>
        <w:spacing w:before="240" w:line="312" w:lineRule="auto"/>
        <w:rPr>
          <w:lang w:eastAsia="en-US"/>
        </w:rPr>
      </w:pPr>
      <w:r w:rsidRPr="00CE3004">
        <w:rPr>
          <w:lang w:eastAsia="en-US"/>
        </w:rPr>
        <w:t>Une analyse des financements de la SR sous l’angle des unités institutionnelles montre que les fonds proviennent en majorité des fonds extérieurs (</w:t>
      </w:r>
      <w:r>
        <w:rPr>
          <w:lang w:eastAsia="en-US"/>
        </w:rPr>
        <w:t>87)</w:t>
      </w:r>
      <w:r w:rsidRPr="00CE3004">
        <w:rPr>
          <w:lang w:eastAsia="en-US"/>
        </w:rPr>
        <w:t>, principalement de l’USAID et l’UNFPA. La contribution des ONG est la plus faible avec (</w:t>
      </w:r>
      <w:r>
        <w:rPr>
          <w:lang w:eastAsia="en-US"/>
        </w:rPr>
        <w:t>09</w:t>
      </w:r>
      <w:r w:rsidRPr="00CE3004">
        <w:rPr>
          <w:lang w:eastAsia="en-US"/>
        </w:rPr>
        <w:t>)</w:t>
      </w:r>
      <w:r w:rsidR="00E85F6F" w:rsidRPr="00CE3004">
        <w:rPr>
          <w:lang w:eastAsia="en-US"/>
        </w:rPr>
        <w:t xml:space="preserve">. </w:t>
      </w:r>
    </w:p>
    <w:p w:rsidR="00E85F6F" w:rsidRPr="00CE3004" w:rsidRDefault="00B73552" w:rsidP="00947090">
      <w:pPr>
        <w:pStyle w:val="Titre3"/>
        <w:ind w:left="1004" w:hanging="720"/>
        <w:rPr>
          <w:lang w:eastAsia="en-US"/>
        </w:rPr>
      </w:pPr>
      <w:bookmarkStart w:id="98" w:name="_Toc413941276"/>
      <w:r>
        <w:rPr>
          <w:lang w:eastAsia="en-US"/>
        </w:rPr>
        <w:t xml:space="preserve">7.2.4. </w:t>
      </w:r>
      <w:r w:rsidR="00E85F6F" w:rsidRPr="00CE3004">
        <w:rPr>
          <w:lang w:eastAsia="en-US"/>
        </w:rPr>
        <w:t>R</w:t>
      </w:r>
      <w:r w:rsidR="0095704D">
        <w:rPr>
          <w:lang w:eastAsia="en-US"/>
        </w:rPr>
        <w:t>épartition des dépenses  de la santé de la reproduction</w:t>
      </w:r>
      <w:r w:rsidR="00E85F6F" w:rsidRPr="00CE3004">
        <w:rPr>
          <w:lang w:eastAsia="en-US"/>
        </w:rPr>
        <w:t xml:space="preserve"> par prestataire</w:t>
      </w:r>
      <w:bookmarkEnd w:id="98"/>
    </w:p>
    <w:p w:rsidR="00E85F6F" w:rsidRPr="00CE3004" w:rsidRDefault="00E85F6F" w:rsidP="00587784">
      <w:pPr>
        <w:spacing w:line="312" w:lineRule="auto"/>
        <w:rPr>
          <w:b/>
          <w:lang w:eastAsia="en-US"/>
        </w:rPr>
      </w:pPr>
      <w:r w:rsidRPr="00CE3004">
        <w:rPr>
          <w:lang w:eastAsia="en-US"/>
        </w:rPr>
        <w:t xml:space="preserve">Le tableau récapitule les  dépenses de la SR par prestataires de service de la santé. </w:t>
      </w:r>
    </w:p>
    <w:p w:rsidR="00E85F6F" w:rsidRDefault="00D90EBA" w:rsidP="00C37361">
      <w:pPr>
        <w:pStyle w:val="Lgende"/>
        <w:spacing w:after="0"/>
        <w:rPr>
          <w:color w:val="000000" w:themeColor="text1"/>
          <w:sz w:val="22"/>
          <w:szCs w:val="22"/>
          <w:lang w:eastAsia="en-US"/>
        </w:rPr>
      </w:pPr>
      <w:bookmarkStart w:id="99" w:name="_Toc483991288"/>
      <w:r w:rsidRPr="00D90EBA">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7.2</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4</w:t>
      </w:r>
      <w:r w:rsidR="00E72F8E">
        <w:rPr>
          <w:color w:val="000000" w:themeColor="text1"/>
          <w:sz w:val="22"/>
          <w:szCs w:val="22"/>
        </w:rPr>
        <w:fldChar w:fldCharType="end"/>
      </w:r>
      <w:r w:rsidRPr="00D90EBA">
        <w:rPr>
          <w:color w:val="000000" w:themeColor="text1"/>
          <w:sz w:val="22"/>
          <w:szCs w:val="22"/>
          <w:lang w:eastAsia="en-US"/>
        </w:rPr>
        <w:t xml:space="preserve"> : R</w:t>
      </w:r>
      <w:r w:rsidR="00E85F6F" w:rsidRPr="00D90EBA">
        <w:rPr>
          <w:color w:val="000000" w:themeColor="text1"/>
          <w:sz w:val="22"/>
          <w:szCs w:val="22"/>
          <w:lang w:eastAsia="en-US"/>
        </w:rPr>
        <w:t>épartition des dépenses de SR par  prestataire</w:t>
      </w:r>
      <w:bookmarkEnd w:id="99"/>
    </w:p>
    <w:tbl>
      <w:tblPr>
        <w:tblW w:w="5000" w:type="pct"/>
        <w:tblCellMar>
          <w:left w:w="70" w:type="dxa"/>
          <w:right w:w="70" w:type="dxa"/>
        </w:tblCellMar>
        <w:tblLook w:val="04A0"/>
      </w:tblPr>
      <w:tblGrid>
        <w:gridCol w:w="1340"/>
        <w:gridCol w:w="1196"/>
        <w:gridCol w:w="1196"/>
        <w:gridCol w:w="1714"/>
        <w:gridCol w:w="890"/>
        <w:gridCol w:w="790"/>
        <w:gridCol w:w="790"/>
        <w:gridCol w:w="940"/>
        <w:gridCol w:w="690"/>
      </w:tblGrid>
      <w:tr w:rsidR="00D92420" w:rsidRPr="00D92420" w:rsidTr="00D92420">
        <w:trPr>
          <w:trHeight w:val="780"/>
        </w:trPr>
        <w:tc>
          <w:tcPr>
            <w:tcW w:w="281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Prestataires</w:t>
            </w:r>
          </w:p>
        </w:tc>
        <w:tc>
          <w:tcPr>
            <w:tcW w:w="1752" w:type="pct"/>
            <w:gridSpan w:val="4"/>
            <w:tcBorders>
              <w:top w:val="single" w:sz="4" w:space="0" w:color="auto"/>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Dépenses</w:t>
            </w:r>
          </w:p>
        </w:tc>
        <w:tc>
          <w:tcPr>
            <w:tcW w:w="438" w:type="pct"/>
            <w:tcBorders>
              <w:top w:val="single" w:sz="8" w:space="0" w:color="auto"/>
              <w:left w:val="nil"/>
              <w:bottom w:val="single" w:sz="8" w:space="0" w:color="auto"/>
              <w:right w:val="single" w:sz="8"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w:t>
            </w:r>
          </w:p>
        </w:tc>
      </w:tr>
      <w:tr w:rsidR="00D92420" w:rsidRPr="00D92420" w:rsidTr="00D92420">
        <w:trPr>
          <w:trHeight w:val="510"/>
        </w:trPr>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r w:rsidRPr="00D92420">
              <w:rPr>
                <w:rFonts w:eastAsia="Times New Roman"/>
                <w:b/>
                <w:sz w:val="20"/>
                <w:szCs w:val="20"/>
                <w:lang w:eastAsia="fr-FR"/>
              </w:rPr>
              <w:t>Hôpitaux</w:t>
            </w:r>
          </w:p>
        </w:tc>
        <w:tc>
          <w:tcPr>
            <w:tcW w:w="584"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Hôpitaux généraux</w:t>
            </w:r>
          </w:p>
        </w:tc>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Hôpitaux généraux publics</w:t>
            </w: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Centres Hospitaliers Universitaires (CHU)</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1788,27</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15 924,69</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center"/>
              <w:rPr>
                <w:rFonts w:eastAsia="Times New Roman"/>
                <w:bCs w:val="0"/>
                <w:i/>
                <w:iCs/>
                <w:sz w:val="20"/>
                <w:szCs w:val="20"/>
                <w:lang w:eastAsia="fr-FR"/>
              </w:rPr>
            </w:pPr>
            <w:r w:rsidRPr="00D92420">
              <w:rPr>
                <w:rFonts w:eastAsia="Times New Roman"/>
                <w:bCs w:val="0"/>
                <w:i/>
                <w:iCs/>
                <w:sz w:val="20"/>
                <w:szCs w:val="20"/>
                <w:lang w:eastAsia="fr-FR"/>
              </w:rPr>
              <w:t>16 329,42</w:t>
            </w:r>
          </w:p>
        </w:tc>
        <w:tc>
          <w:tcPr>
            <w:tcW w:w="43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16 333,30</w:t>
            </w:r>
          </w:p>
        </w:tc>
        <w:tc>
          <w:tcPr>
            <w:tcW w:w="438" w:type="pct"/>
            <w:vMerge w:val="restart"/>
            <w:tcBorders>
              <w:top w:val="nil"/>
              <w:left w:val="single" w:sz="4" w:space="0" w:color="auto"/>
              <w:bottom w:val="single" w:sz="8" w:space="0" w:color="000000"/>
              <w:right w:val="single" w:sz="8" w:space="0" w:color="000000"/>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40,78</w:t>
            </w: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53"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Centres Hospitaliers régionaux (CHR)</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876,44</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53"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Hôpitaux de district (CSRéf)</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13251,46</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53"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Autres Hôpitaux généraux publics</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8,52</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Hôpitaux généraux privés</w:t>
            </w: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Polyclinique</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0,35</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403,42</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53"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Clinique</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398,13</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53"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Autres Hôpitaux généraux privés</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4,94</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2175" w:type="pct"/>
            <w:gridSpan w:val="3"/>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Autres Hôpitaux généraux</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1,31</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525"/>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Hôpitaux non spécifiés (n.c.a.)</w:t>
            </w:r>
          </w:p>
        </w:tc>
        <w:tc>
          <w:tcPr>
            <w:tcW w:w="453"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 </w:t>
            </w: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 </w:t>
            </w:r>
          </w:p>
        </w:tc>
        <w:tc>
          <w:tcPr>
            <w:tcW w:w="438" w:type="pct"/>
            <w:tcBorders>
              <w:top w:val="nil"/>
              <w:left w:val="nil"/>
              <w:bottom w:val="single" w:sz="4" w:space="0" w:color="auto"/>
              <w:right w:val="single" w:sz="4" w:space="0" w:color="auto"/>
            </w:tcBorders>
            <w:shd w:val="clear" w:color="auto" w:fill="auto"/>
            <w:noWrap/>
            <w:vAlign w:val="bottom"/>
            <w:hideMark/>
          </w:tcPr>
          <w:p w:rsidR="00D92420" w:rsidRPr="00D92420" w:rsidRDefault="00D92420" w:rsidP="00D92420">
            <w:pPr>
              <w:autoSpaceDE/>
              <w:autoSpaceDN/>
              <w:adjustRightInd/>
              <w:spacing w:after="0" w:line="240" w:lineRule="auto"/>
              <w:jc w:val="left"/>
              <w:rPr>
                <w:rFonts w:ascii="Calibri" w:eastAsia="Times New Roman" w:hAnsi="Calibri"/>
                <w:bCs w:val="0"/>
                <w:lang w:eastAsia="fr-FR"/>
              </w:rPr>
            </w:pPr>
            <w:r w:rsidRPr="00D92420">
              <w:rPr>
                <w:rFonts w:ascii="Calibri" w:eastAsia="Times New Roman" w:hAnsi="Calibri"/>
                <w:bCs w:val="0"/>
                <w:sz w:val="22"/>
                <w:szCs w:val="22"/>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 </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3,88</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300"/>
        </w:trPr>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r w:rsidRPr="00D92420">
              <w:rPr>
                <w:rFonts w:eastAsia="Times New Roman"/>
                <w:b/>
                <w:sz w:val="20"/>
                <w:szCs w:val="20"/>
                <w:lang w:eastAsia="fr-FR"/>
              </w:rPr>
              <w:t>Prestataires de soins de santé ambulatoire</w:t>
            </w:r>
          </w:p>
        </w:tc>
        <w:tc>
          <w:tcPr>
            <w:tcW w:w="584"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Cabinets médicaux</w:t>
            </w:r>
          </w:p>
        </w:tc>
        <w:tc>
          <w:tcPr>
            <w:tcW w:w="2175" w:type="pct"/>
            <w:gridSpan w:val="3"/>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Cabinets des médecins généralistes</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940,34</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center"/>
              <w:rPr>
                <w:rFonts w:eastAsia="Times New Roman"/>
                <w:bCs w:val="0"/>
                <w:i/>
                <w:iCs/>
                <w:sz w:val="20"/>
                <w:szCs w:val="20"/>
                <w:lang w:eastAsia="fr-FR"/>
              </w:rPr>
            </w:pPr>
            <w:r w:rsidRPr="00D92420">
              <w:rPr>
                <w:rFonts w:eastAsia="Times New Roman"/>
                <w:bCs w:val="0"/>
                <w:i/>
                <w:iCs/>
                <w:sz w:val="20"/>
                <w:szCs w:val="20"/>
                <w:lang w:eastAsia="fr-FR"/>
              </w:rPr>
              <w:t>940,73</w:t>
            </w:r>
          </w:p>
        </w:tc>
        <w:tc>
          <w:tcPr>
            <w:tcW w:w="43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16 380,21</w:t>
            </w:r>
          </w:p>
        </w:tc>
        <w:tc>
          <w:tcPr>
            <w:tcW w:w="438" w:type="pct"/>
            <w:vMerge w:val="restart"/>
            <w:tcBorders>
              <w:top w:val="nil"/>
              <w:left w:val="single" w:sz="4" w:space="0" w:color="auto"/>
              <w:bottom w:val="single" w:sz="8" w:space="0" w:color="000000"/>
              <w:right w:val="single" w:sz="8" w:space="0" w:color="000000"/>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40,90</w:t>
            </w: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2175" w:type="pct"/>
            <w:gridSpan w:val="3"/>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Cabinet de soins médicaux</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0,39</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000000"/>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51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Autres praticiens de soins de santé</w:t>
            </w:r>
          </w:p>
        </w:tc>
        <w:tc>
          <w:tcPr>
            <w:tcW w:w="2175" w:type="pct"/>
            <w:gridSpan w:val="3"/>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Médecine traditionnelle et pharmacopée traditionnelle</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320,8</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center"/>
              <w:rPr>
                <w:rFonts w:eastAsia="Times New Roman"/>
                <w:bCs w:val="0"/>
                <w:i/>
                <w:iCs/>
                <w:sz w:val="20"/>
                <w:szCs w:val="20"/>
                <w:lang w:eastAsia="fr-FR"/>
              </w:rPr>
            </w:pPr>
            <w:r w:rsidRPr="00D92420">
              <w:rPr>
                <w:rFonts w:eastAsia="Times New Roman"/>
                <w:bCs w:val="0"/>
                <w:i/>
                <w:iCs/>
                <w:sz w:val="20"/>
                <w:szCs w:val="20"/>
                <w:lang w:eastAsia="fr-FR"/>
              </w:rPr>
              <w:t>2120,32</w:t>
            </w:r>
          </w:p>
        </w:tc>
        <w:tc>
          <w:tcPr>
            <w:tcW w:w="438" w:type="pct"/>
            <w:vMerge/>
            <w:tcBorders>
              <w:top w:val="nil"/>
              <w:left w:val="single" w:sz="4" w:space="0" w:color="auto"/>
              <w:bottom w:val="single" w:sz="4" w:space="0" w:color="000000"/>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2175" w:type="pct"/>
            <w:gridSpan w:val="3"/>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Centres de planning familial</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1799,52</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000000"/>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45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Centres de soins ambulatoires</w:t>
            </w:r>
          </w:p>
        </w:tc>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Centres de soins ambulatoires non spécialisés</w:t>
            </w: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Centres de santé (CS)</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13140,08</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13 190,92</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center"/>
              <w:rPr>
                <w:rFonts w:eastAsia="Times New Roman"/>
                <w:bCs w:val="0"/>
                <w:i/>
                <w:iCs/>
                <w:sz w:val="20"/>
                <w:szCs w:val="20"/>
                <w:lang w:eastAsia="fr-FR"/>
              </w:rPr>
            </w:pPr>
            <w:r w:rsidRPr="00D92420">
              <w:rPr>
                <w:rFonts w:eastAsia="Times New Roman"/>
                <w:bCs w:val="0"/>
                <w:i/>
                <w:iCs/>
                <w:sz w:val="20"/>
                <w:szCs w:val="20"/>
                <w:lang w:eastAsia="fr-FR"/>
              </w:rPr>
              <w:t>13 319,16</w:t>
            </w:r>
          </w:p>
        </w:tc>
        <w:tc>
          <w:tcPr>
            <w:tcW w:w="438" w:type="pct"/>
            <w:vMerge/>
            <w:tcBorders>
              <w:top w:val="nil"/>
              <w:left w:val="single" w:sz="4" w:space="0" w:color="auto"/>
              <w:bottom w:val="single" w:sz="4" w:space="0" w:color="000000"/>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53"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Dispensaire</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0,02</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000000"/>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51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53"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1285" w:type="pct"/>
            <w:tcBorders>
              <w:top w:val="nil"/>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Autres Centres de soins ambulatoires non-spécialisés</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50,82</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000000"/>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525"/>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2175" w:type="pct"/>
            <w:gridSpan w:val="3"/>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Prestataires de soins de santé ambulatoire non spécifiés (n.c.a.)</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128,24</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000000"/>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525"/>
        </w:trPr>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r w:rsidRPr="00D92420">
              <w:rPr>
                <w:rFonts w:eastAsia="Times New Roman"/>
                <w:b/>
                <w:sz w:val="20"/>
                <w:szCs w:val="20"/>
                <w:lang w:eastAsia="fr-FR"/>
              </w:rPr>
              <w:t>Prestataires de services auxiliaires</w:t>
            </w:r>
          </w:p>
        </w:tc>
        <w:tc>
          <w:tcPr>
            <w:tcW w:w="584"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Laboratoires Médicaux et de diagnostique</w:t>
            </w:r>
          </w:p>
        </w:tc>
        <w:tc>
          <w:tcPr>
            <w:tcW w:w="2175" w:type="pct"/>
            <w:gridSpan w:val="3"/>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Laboratoire public</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39,43</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center"/>
              <w:rPr>
                <w:rFonts w:eastAsia="Times New Roman"/>
                <w:bCs w:val="0"/>
                <w:i/>
                <w:iCs/>
                <w:sz w:val="20"/>
                <w:szCs w:val="20"/>
                <w:lang w:eastAsia="fr-FR"/>
              </w:rPr>
            </w:pPr>
            <w:r w:rsidRPr="00D92420">
              <w:rPr>
                <w:rFonts w:eastAsia="Times New Roman"/>
                <w:bCs w:val="0"/>
                <w:i/>
                <w:iCs/>
                <w:sz w:val="20"/>
                <w:szCs w:val="20"/>
                <w:lang w:eastAsia="fr-FR"/>
              </w:rPr>
              <w:t>55,35</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center"/>
              <w:rPr>
                <w:rFonts w:eastAsia="Times New Roman"/>
                <w:bCs w:val="0"/>
                <w:i/>
                <w:iCs/>
                <w:sz w:val="20"/>
                <w:szCs w:val="20"/>
                <w:lang w:eastAsia="fr-FR"/>
              </w:rPr>
            </w:pPr>
            <w:r w:rsidRPr="00D92420">
              <w:rPr>
                <w:rFonts w:eastAsia="Times New Roman"/>
                <w:bCs w:val="0"/>
                <w:i/>
                <w:iCs/>
                <w:sz w:val="20"/>
                <w:szCs w:val="20"/>
                <w:lang w:eastAsia="fr-FR"/>
              </w:rPr>
              <w:t>55,35</w:t>
            </w:r>
          </w:p>
        </w:tc>
        <w:tc>
          <w:tcPr>
            <w:tcW w:w="438" w:type="pct"/>
            <w:vMerge w:val="restart"/>
            <w:tcBorders>
              <w:top w:val="nil"/>
              <w:left w:val="single" w:sz="4" w:space="0" w:color="auto"/>
              <w:bottom w:val="single" w:sz="8" w:space="0" w:color="000000"/>
              <w:right w:val="single" w:sz="8" w:space="0" w:color="000000"/>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0,14</w:t>
            </w:r>
          </w:p>
        </w:tc>
      </w:tr>
      <w:tr w:rsidR="00D92420" w:rsidRPr="00D92420" w:rsidTr="00D92420">
        <w:trPr>
          <w:trHeight w:val="525"/>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584"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2175" w:type="pct"/>
            <w:gridSpan w:val="3"/>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sz w:val="20"/>
                <w:szCs w:val="20"/>
                <w:lang w:eastAsia="fr-FR"/>
              </w:rPr>
            </w:pPr>
            <w:r w:rsidRPr="00D92420">
              <w:rPr>
                <w:rFonts w:eastAsia="Times New Roman"/>
                <w:bCs w:val="0"/>
                <w:sz w:val="20"/>
                <w:szCs w:val="20"/>
                <w:lang w:eastAsia="fr-FR"/>
              </w:rPr>
              <w:t>Laboratoire privé</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15,92</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300"/>
        </w:trPr>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r w:rsidRPr="00D92420">
              <w:rPr>
                <w:rFonts w:eastAsia="Times New Roman"/>
                <w:b/>
                <w:sz w:val="20"/>
                <w:szCs w:val="20"/>
                <w:lang w:eastAsia="fr-FR"/>
              </w:rPr>
              <w:t>Détaillants et autres prestataires de biens médicaux</w:t>
            </w:r>
          </w:p>
        </w:tc>
        <w:tc>
          <w:tcPr>
            <w:tcW w:w="3197" w:type="pct"/>
            <w:gridSpan w:val="5"/>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Pharmacies</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1070,14</w:t>
            </w:r>
          </w:p>
        </w:tc>
        <w:tc>
          <w:tcPr>
            <w:tcW w:w="43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1241,33</w:t>
            </w:r>
          </w:p>
        </w:tc>
        <w:tc>
          <w:tcPr>
            <w:tcW w:w="438" w:type="pct"/>
            <w:vMerge w:val="restart"/>
            <w:tcBorders>
              <w:top w:val="nil"/>
              <w:left w:val="single" w:sz="4" w:space="0" w:color="auto"/>
              <w:bottom w:val="single" w:sz="8" w:space="0" w:color="000000"/>
              <w:right w:val="single" w:sz="8" w:space="0" w:color="000000"/>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3,10</w:t>
            </w:r>
          </w:p>
        </w:tc>
      </w:tr>
      <w:tr w:rsidR="00D92420" w:rsidRPr="00D92420" w:rsidTr="00D92420">
        <w:trPr>
          <w:trHeight w:val="765"/>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3197" w:type="pct"/>
            <w:gridSpan w:val="5"/>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Détaillants et autres fournisseurs de biens médicaux durables et d'appareils médicaux</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0,38</w:t>
            </w:r>
          </w:p>
        </w:tc>
        <w:tc>
          <w:tcPr>
            <w:tcW w:w="438" w:type="pct"/>
            <w:vMerge/>
            <w:tcBorders>
              <w:top w:val="nil"/>
              <w:left w:val="single" w:sz="4" w:space="0" w:color="auto"/>
              <w:bottom w:val="single" w:sz="4" w:space="0" w:color="000000"/>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78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3197" w:type="pct"/>
            <w:gridSpan w:val="5"/>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Tous autres détaillants divers et autres fournisseurs de produits pharmaceutiques et biens médicaux</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170,81</w:t>
            </w:r>
          </w:p>
        </w:tc>
        <w:tc>
          <w:tcPr>
            <w:tcW w:w="438" w:type="pct"/>
            <w:vMerge/>
            <w:tcBorders>
              <w:top w:val="nil"/>
              <w:left w:val="single" w:sz="4" w:space="0" w:color="auto"/>
              <w:bottom w:val="single" w:sz="4" w:space="0" w:color="000000"/>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nil"/>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780"/>
        </w:trPr>
        <w:tc>
          <w:tcPr>
            <w:tcW w:w="412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r w:rsidRPr="00D92420">
              <w:rPr>
                <w:rFonts w:eastAsia="Times New Roman"/>
                <w:b/>
                <w:sz w:val="20"/>
                <w:szCs w:val="20"/>
                <w:lang w:eastAsia="fr-FR"/>
              </w:rPr>
              <w:t>Prestataires de soins préventifs</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5083,39</w:t>
            </w:r>
          </w:p>
        </w:tc>
        <w:tc>
          <w:tcPr>
            <w:tcW w:w="438" w:type="pct"/>
            <w:tcBorders>
              <w:top w:val="nil"/>
              <w:left w:val="nil"/>
              <w:bottom w:val="nil"/>
              <w:right w:val="single" w:sz="8" w:space="0" w:color="000000"/>
            </w:tcBorders>
            <w:shd w:val="clear" w:color="auto" w:fill="auto"/>
            <w:noWrap/>
            <w:vAlign w:val="center"/>
            <w:hideMark/>
          </w:tcPr>
          <w:p w:rsidR="00D92420" w:rsidRPr="00D92420" w:rsidRDefault="00D92420" w:rsidP="00D92420">
            <w:pPr>
              <w:autoSpaceDE/>
              <w:autoSpaceDN/>
              <w:adjustRightInd/>
              <w:spacing w:after="0" w:line="240" w:lineRule="auto"/>
              <w:jc w:val="right"/>
              <w:rPr>
                <w:rFonts w:eastAsia="Times New Roman"/>
                <w:b/>
                <w:sz w:val="20"/>
                <w:szCs w:val="20"/>
                <w:lang w:eastAsia="fr-FR"/>
              </w:rPr>
            </w:pPr>
            <w:r w:rsidRPr="00D92420">
              <w:rPr>
                <w:rFonts w:eastAsia="Times New Roman"/>
                <w:b/>
                <w:sz w:val="20"/>
                <w:szCs w:val="20"/>
                <w:lang w:eastAsia="fr-FR"/>
              </w:rPr>
              <w:t>12,69</w:t>
            </w:r>
          </w:p>
        </w:tc>
      </w:tr>
      <w:tr w:rsidR="00D92420" w:rsidRPr="00D92420" w:rsidTr="00D92420">
        <w:trPr>
          <w:trHeight w:val="510"/>
        </w:trPr>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r w:rsidRPr="00D92420">
              <w:rPr>
                <w:rFonts w:eastAsia="Times New Roman"/>
                <w:b/>
                <w:sz w:val="20"/>
                <w:szCs w:val="20"/>
                <w:lang w:eastAsia="fr-FR"/>
              </w:rPr>
              <w:t>Prestataires de services administratifs et de financement du système de soins de santé</w:t>
            </w:r>
          </w:p>
        </w:tc>
        <w:tc>
          <w:tcPr>
            <w:tcW w:w="3197" w:type="pct"/>
            <w:gridSpan w:val="5"/>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Agences étatiques de l'administration de la santé</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763,78</w:t>
            </w:r>
          </w:p>
        </w:tc>
        <w:tc>
          <w:tcPr>
            <w:tcW w:w="43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887,07</w:t>
            </w:r>
          </w:p>
        </w:tc>
        <w:tc>
          <w:tcPr>
            <w:tcW w:w="438" w:type="pct"/>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2,21</w:t>
            </w:r>
          </w:p>
        </w:tc>
      </w:tr>
      <w:tr w:rsidR="00D92420" w:rsidRPr="00D92420" w:rsidTr="00D92420">
        <w:trPr>
          <w:trHeight w:val="300"/>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3197" w:type="pct"/>
            <w:gridSpan w:val="5"/>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Agences d'assurance maladie sociale</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123,12</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single" w:sz="8" w:space="0" w:color="auto"/>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525"/>
        </w:trPr>
        <w:tc>
          <w:tcPr>
            <w:tcW w:w="489"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3197" w:type="pct"/>
            <w:gridSpan w:val="5"/>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Agences administratifs de l'assurance maladie privée</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0,17</w:t>
            </w:r>
          </w:p>
        </w:tc>
        <w:tc>
          <w:tcPr>
            <w:tcW w:w="438" w:type="pct"/>
            <w:vMerge/>
            <w:tcBorders>
              <w:top w:val="nil"/>
              <w:left w:val="single" w:sz="4" w:space="0" w:color="auto"/>
              <w:bottom w:val="single" w:sz="4" w:space="0" w:color="auto"/>
              <w:right w:val="single" w:sz="4" w:space="0" w:color="auto"/>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c>
          <w:tcPr>
            <w:tcW w:w="438" w:type="pct"/>
            <w:vMerge/>
            <w:tcBorders>
              <w:top w:val="single" w:sz="8" w:space="0" w:color="auto"/>
              <w:left w:val="single" w:sz="4" w:space="0" w:color="auto"/>
              <w:bottom w:val="single" w:sz="8" w:space="0" w:color="000000"/>
              <w:right w:val="single" w:sz="8" w:space="0" w:color="000000"/>
            </w:tcBorders>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p>
        </w:tc>
      </w:tr>
      <w:tr w:rsidR="00D92420" w:rsidRPr="00D92420" w:rsidTr="00D92420">
        <w:trPr>
          <w:trHeight w:val="525"/>
        </w:trPr>
        <w:tc>
          <w:tcPr>
            <w:tcW w:w="489" w:type="pct"/>
            <w:tcBorders>
              <w:top w:val="nil"/>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r w:rsidRPr="00D92420">
              <w:rPr>
                <w:rFonts w:eastAsia="Times New Roman"/>
                <w:b/>
                <w:sz w:val="20"/>
                <w:szCs w:val="20"/>
                <w:lang w:eastAsia="fr-FR"/>
              </w:rPr>
              <w:t>Reste de l'économie</w:t>
            </w:r>
          </w:p>
        </w:tc>
        <w:tc>
          <w:tcPr>
            <w:tcW w:w="3197" w:type="pct"/>
            <w:gridSpan w:val="5"/>
            <w:tcBorders>
              <w:top w:val="single" w:sz="4" w:space="0" w:color="auto"/>
              <w:left w:val="nil"/>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Cs w:val="0"/>
                <w:i/>
                <w:iCs/>
                <w:sz w:val="20"/>
                <w:szCs w:val="20"/>
                <w:lang w:eastAsia="fr-FR"/>
              </w:rPr>
            </w:pPr>
            <w:r w:rsidRPr="00D92420">
              <w:rPr>
                <w:rFonts w:eastAsia="Times New Roman"/>
                <w:bCs w:val="0"/>
                <w:i/>
                <w:iCs/>
                <w:sz w:val="20"/>
                <w:szCs w:val="20"/>
                <w:lang w:eastAsia="fr-FR"/>
              </w:rPr>
              <w:t>Toutes autres industries prestataires secondaires de soins de santé</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17,74</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17,74</w:t>
            </w:r>
          </w:p>
        </w:tc>
        <w:tc>
          <w:tcPr>
            <w:tcW w:w="438" w:type="pct"/>
            <w:tcBorders>
              <w:top w:val="nil"/>
              <w:left w:val="nil"/>
              <w:bottom w:val="nil"/>
              <w:right w:val="single" w:sz="8" w:space="0" w:color="000000"/>
            </w:tcBorders>
            <w:shd w:val="clear" w:color="auto" w:fill="auto"/>
            <w:noWrap/>
            <w:vAlign w:val="center"/>
            <w:hideMark/>
          </w:tcPr>
          <w:p w:rsidR="00D92420" w:rsidRPr="00D92420" w:rsidRDefault="00D92420" w:rsidP="00D92420">
            <w:pPr>
              <w:autoSpaceDE/>
              <w:autoSpaceDN/>
              <w:adjustRightInd/>
              <w:spacing w:after="0" w:line="240" w:lineRule="auto"/>
              <w:jc w:val="right"/>
              <w:rPr>
                <w:rFonts w:eastAsia="Times New Roman"/>
                <w:b/>
                <w:sz w:val="20"/>
                <w:szCs w:val="20"/>
                <w:lang w:eastAsia="fr-FR"/>
              </w:rPr>
            </w:pPr>
            <w:r w:rsidRPr="00D92420">
              <w:rPr>
                <w:rFonts w:eastAsia="Times New Roman"/>
                <w:b/>
                <w:sz w:val="20"/>
                <w:szCs w:val="20"/>
                <w:lang w:eastAsia="fr-FR"/>
              </w:rPr>
              <w:t>0,04</w:t>
            </w:r>
          </w:p>
        </w:tc>
      </w:tr>
      <w:tr w:rsidR="00D92420" w:rsidRPr="00D92420" w:rsidTr="00D92420">
        <w:trPr>
          <w:trHeight w:val="315"/>
        </w:trPr>
        <w:tc>
          <w:tcPr>
            <w:tcW w:w="412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r w:rsidRPr="00D92420">
              <w:rPr>
                <w:rFonts w:eastAsia="Times New Roman"/>
                <w:b/>
                <w:sz w:val="20"/>
                <w:szCs w:val="20"/>
                <w:lang w:eastAsia="fr-FR"/>
              </w:rPr>
              <w:t>Reste du monde</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52,6</w:t>
            </w:r>
          </w:p>
        </w:tc>
        <w:tc>
          <w:tcPr>
            <w:tcW w:w="438" w:type="pct"/>
            <w:tcBorders>
              <w:top w:val="single" w:sz="8" w:space="0" w:color="auto"/>
              <w:left w:val="nil"/>
              <w:bottom w:val="nil"/>
              <w:right w:val="single" w:sz="8" w:space="0" w:color="000000"/>
            </w:tcBorders>
            <w:shd w:val="clear" w:color="auto" w:fill="auto"/>
            <w:noWrap/>
            <w:vAlign w:val="center"/>
            <w:hideMark/>
          </w:tcPr>
          <w:p w:rsidR="00D92420" w:rsidRPr="00D92420" w:rsidRDefault="00D92420" w:rsidP="00D92420">
            <w:pPr>
              <w:autoSpaceDE/>
              <w:autoSpaceDN/>
              <w:adjustRightInd/>
              <w:spacing w:after="0" w:line="240" w:lineRule="auto"/>
              <w:jc w:val="right"/>
              <w:rPr>
                <w:rFonts w:eastAsia="Times New Roman"/>
                <w:b/>
                <w:sz w:val="20"/>
                <w:szCs w:val="20"/>
                <w:lang w:eastAsia="fr-FR"/>
              </w:rPr>
            </w:pPr>
            <w:r w:rsidRPr="00D92420">
              <w:rPr>
                <w:rFonts w:eastAsia="Times New Roman"/>
                <w:b/>
                <w:sz w:val="20"/>
                <w:szCs w:val="20"/>
                <w:lang w:eastAsia="fr-FR"/>
              </w:rPr>
              <w:t>0,13</w:t>
            </w:r>
          </w:p>
        </w:tc>
      </w:tr>
      <w:tr w:rsidR="00D92420" w:rsidRPr="00D92420" w:rsidTr="00D92420">
        <w:trPr>
          <w:trHeight w:val="360"/>
        </w:trPr>
        <w:tc>
          <w:tcPr>
            <w:tcW w:w="412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r w:rsidRPr="00D92420">
              <w:rPr>
                <w:rFonts w:eastAsia="Times New Roman"/>
                <w:b/>
                <w:sz w:val="20"/>
                <w:szCs w:val="20"/>
                <w:lang w:eastAsia="fr-FR"/>
              </w:rPr>
              <w:t>Prestataires de soins de santé non spécifiés (n.c.a.)</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Cs w:val="0"/>
                <w:sz w:val="20"/>
                <w:szCs w:val="20"/>
                <w:lang w:eastAsia="fr-FR"/>
              </w:rPr>
            </w:pPr>
            <w:r w:rsidRPr="00D92420">
              <w:rPr>
                <w:rFonts w:eastAsia="Times New Roman"/>
                <w:bCs w:val="0"/>
                <w:sz w:val="20"/>
                <w:szCs w:val="20"/>
                <w:lang w:eastAsia="fr-FR"/>
              </w:rPr>
              <w:t>0,69</w:t>
            </w:r>
          </w:p>
        </w:tc>
        <w:tc>
          <w:tcPr>
            <w:tcW w:w="438" w:type="pct"/>
            <w:tcBorders>
              <w:top w:val="single" w:sz="8" w:space="0" w:color="auto"/>
              <w:left w:val="nil"/>
              <w:bottom w:val="nil"/>
              <w:right w:val="single" w:sz="8" w:space="0" w:color="000000"/>
            </w:tcBorders>
            <w:shd w:val="clear" w:color="auto" w:fill="auto"/>
            <w:noWrap/>
            <w:vAlign w:val="center"/>
            <w:hideMark/>
          </w:tcPr>
          <w:p w:rsidR="00D92420" w:rsidRPr="00D92420" w:rsidRDefault="00D92420" w:rsidP="00D92420">
            <w:pPr>
              <w:autoSpaceDE/>
              <w:autoSpaceDN/>
              <w:adjustRightInd/>
              <w:spacing w:after="0" w:line="240" w:lineRule="auto"/>
              <w:jc w:val="right"/>
              <w:rPr>
                <w:rFonts w:eastAsia="Times New Roman"/>
                <w:b/>
                <w:sz w:val="20"/>
                <w:szCs w:val="20"/>
                <w:lang w:eastAsia="fr-FR"/>
              </w:rPr>
            </w:pPr>
            <w:r w:rsidRPr="00D92420">
              <w:rPr>
                <w:rFonts w:eastAsia="Times New Roman"/>
                <w:b/>
                <w:sz w:val="20"/>
                <w:szCs w:val="20"/>
                <w:lang w:eastAsia="fr-FR"/>
              </w:rPr>
              <w:t>0,00</w:t>
            </w:r>
          </w:p>
        </w:tc>
      </w:tr>
      <w:tr w:rsidR="00D92420" w:rsidRPr="00D92420" w:rsidTr="00D92420">
        <w:trPr>
          <w:trHeight w:val="315"/>
        </w:trPr>
        <w:tc>
          <w:tcPr>
            <w:tcW w:w="4124"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left"/>
              <w:rPr>
                <w:rFonts w:eastAsia="Times New Roman"/>
                <w:b/>
                <w:sz w:val="20"/>
                <w:szCs w:val="20"/>
                <w:lang w:eastAsia="fr-FR"/>
              </w:rPr>
            </w:pPr>
            <w:r w:rsidRPr="00D92420">
              <w:rPr>
                <w:rFonts w:eastAsia="Times New Roman"/>
                <w:b/>
                <w:sz w:val="20"/>
                <w:szCs w:val="20"/>
                <w:lang w:eastAsia="fr-FR"/>
              </w:rPr>
              <w:t>Ensemble</w:t>
            </w:r>
          </w:p>
        </w:tc>
        <w:tc>
          <w:tcPr>
            <w:tcW w:w="438" w:type="pct"/>
            <w:tcBorders>
              <w:top w:val="nil"/>
              <w:left w:val="nil"/>
              <w:bottom w:val="single" w:sz="4" w:space="0" w:color="auto"/>
              <w:right w:val="single" w:sz="4" w:space="0" w:color="auto"/>
            </w:tcBorders>
            <w:shd w:val="clear" w:color="auto" w:fill="auto"/>
            <w:noWrap/>
            <w:vAlign w:val="center"/>
            <w:hideMark/>
          </w:tcPr>
          <w:p w:rsidR="00D92420" w:rsidRPr="00D92420" w:rsidRDefault="00D92420" w:rsidP="00D92420">
            <w:pPr>
              <w:autoSpaceDE/>
              <w:autoSpaceDN/>
              <w:adjustRightInd/>
              <w:spacing w:after="0" w:line="240" w:lineRule="auto"/>
              <w:jc w:val="center"/>
              <w:rPr>
                <w:rFonts w:eastAsia="Times New Roman"/>
                <w:b/>
                <w:sz w:val="20"/>
                <w:szCs w:val="20"/>
                <w:lang w:eastAsia="fr-FR"/>
              </w:rPr>
            </w:pPr>
            <w:r w:rsidRPr="00D92420">
              <w:rPr>
                <w:rFonts w:eastAsia="Times New Roman"/>
                <w:b/>
                <w:sz w:val="20"/>
                <w:szCs w:val="20"/>
                <w:lang w:eastAsia="fr-FR"/>
              </w:rPr>
              <w:t>40 051,68</w:t>
            </w:r>
          </w:p>
        </w:tc>
        <w:tc>
          <w:tcPr>
            <w:tcW w:w="438" w:type="pct"/>
            <w:tcBorders>
              <w:top w:val="single" w:sz="8" w:space="0" w:color="auto"/>
              <w:left w:val="nil"/>
              <w:bottom w:val="nil"/>
              <w:right w:val="single" w:sz="8" w:space="0" w:color="000000"/>
            </w:tcBorders>
            <w:shd w:val="clear" w:color="auto" w:fill="auto"/>
            <w:noWrap/>
            <w:vAlign w:val="center"/>
            <w:hideMark/>
          </w:tcPr>
          <w:p w:rsidR="00D92420" w:rsidRPr="00D92420" w:rsidRDefault="00D92420" w:rsidP="00D92420">
            <w:pPr>
              <w:autoSpaceDE/>
              <w:autoSpaceDN/>
              <w:adjustRightInd/>
              <w:spacing w:after="0" w:line="240" w:lineRule="auto"/>
              <w:jc w:val="right"/>
              <w:rPr>
                <w:rFonts w:eastAsia="Times New Roman"/>
                <w:b/>
                <w:sz w:val="20"/>
                <w:szCs w:val="20"/>
                <w:lang w:eastAsia="fr-FR"/>
              </w:rPr>
            </w:pPr>
            <w:r w:rsidRPr="00D92420">
              <w:rPr>
                <w:rFonts w:eastAsia="Times New Roman"/>
                <w:b/>
                <w:sz w:val="20"/>
                <w:szCs w:val="20"/>
                <w:lang w:eastAsia="fr-FR"/>
              </w:rPr>
              <w:t>100,00</w:t>
            </w:r>
          </w:p>
        </w:tc>
      </w:tr>
    </w:tbl>
    <w:p w:rsidR="00B73552" w:rsidRPr="00947090" w:rsidRDefault="00B73552" w:rsidP="00947090">
      <w:pPr>
        <w:rPr>
          <w:lang w:eastAsia="en-US"/>
        </w:rPr>
      </w:pPr>
    </w:p>
    <w:p w:rsidR="00E85F6F" w:rsidRPr="00CE3004" w:rsidRDefault="00E85F6F" w:rsidP="00E508D1">
      <w:pPr>
        <w:spacing w:before="240" w:line="312" w:lineRule="auto"/>
        <w:rPr>
          <w:rFonts w:eastAsia="Arial Unicode MS"/>
          <w:b/>
          <w:lang w:eastAsia="en-US"/>
        </w:rPr>
      </w:pPr>
      <w:r w:rsidRPr="00CE3004">
        <w:rPr>
          <w:lang w:eastAsia="en-US"/>
        </w:rPr>
        <w:t>Les dépenses par  prestataires  laissent  voir que les ressources sont orientées principalement vers les prestataires de soins préventifs avec 68,8 %, les prestataires de soins ambulatoires avec 15,9% et les hôpitaux  avec 9,6%. Cela pourrait s’expliquer par l’effort consenti par les autorités sanitaires dans l’offre des soins préventifs. Cet effort a permis d’améliorer le recours aux soins préventifs et de réserver le rôle de référence aux hôpitaux.</w:t>
      </w:r>
    </w:p>
    <w:p w:rsidR="00E85F6F" w:rsidRPr="00CE3004" w:rsidRDefault="00E930D5" w:rsidP="0095704D">
      <w:pPr>
        <w:pStyle w:val="Titre3"/>
        <w:rPr>
          <w:lang w:eastAsia="en-US"/>
        </w:rPr>
      </w:pPr>
      <w:bookmarkStart w:id="100" w:name="_Toc413941277"/>
      <w:r>
        <w:rPr>
          <w:lang w:eastAsia="en-US"/>
        </w:rPr>
        <w:t xml:space="preserve">7.2.5. </w:t>
      </w:r>
      <w:r w:rsidR="00E85F6F" w:rsidRPr="00CE3004">
        <w:rPr>
          <w:lang w:eastAsia="en-US"/>
        </w:rPr>
        <w:t>Répartition des dépenses  de la SR par fonction</w:t>
      </w:r>
      <w:bookmarkEnd w:id="100"/>
    </w:p>
    <w:p w:rsidR="00BF4745" w:rsidRDefault="00E85F6F" w:rsidP="00CF2C2C">
      <w:pPr>
        <w:spacing w:after="0" w:line="312" w:lineRule="auto"/>
        <w:rPr>
          <w:lang w:eastAsia="en-US"/>
        </w:rPr>
      </w:pPr>
      <w:r w:rsidRPr="00D90EBA">
        <w:rPr>
          <w:lang w:eastAsia="en-US"/>
        </w:rPr>
        <w:t xml:space="preserve">Le tableau </w:t>
      </w:r>
      <w:r w:rsidR="00D90EBA" w:rsidRPr="00D90EBA">
        <w:rPr>
          <w:lang w:eastAsia="en-US"/>
        </w:rPr>
        <w:t xml:space="preserve">7.2.5 </w:t>
      </w:r>
      <w:r w:rsidRPr="00D90EBA">
        <w:rPr>
          <w:lang w:eastAsia="en-US"/>
        </w:rPr>
        <w:t>fait  ressortir les dépenses par type de soins  de la santé  de la reproduction.</w:t>
      </w:r>
    </w:p>
    <w:p w:rsidR="008D7C75" w:rsidRDefault="008D7C75" w:rsidP="008D7C75">
      <w:pPr>
        <w:pStyle w:val="Lgende"/>
        <w:spacing w:after="0"/>
        <w:rPr>
          <w:color w:val="000000" w:themeColor="text1"/>
          <w:sz w:val="22"/>
          <w:szCs w:val="22"/>
        </w:rPr>
      </w:pPr>
    </w:p>
    <w:p w:rsidR="00E85F6F" w:rsidRDefault="00D90EBA" w:rsidP="008D7C75">
      <w:pPr>
        <w:pStyle w:val="Lgende"/>
        <w:spacing w:after="0"/>
        <w:rPr>
          <w:color w:val="000000" w:themeColor="text1"/>
          <w:sz w:val="22"/>
          <w:szCs w:val="22"/>
          <w:lang w:eastAsia="en-US"/>
        </w:rPr>
      </w:pPr>
      <w:bookmarkStart w:id="101" w:name="_Toc483991289"/>
      <w:r w:rsidRPr="00D90EBA">
        <w:rPr>
          <w:color w:val="000000" w:themeColor="text1"/>
          <w:sz w:val="22"/>
          <w:szCs w:val="22"/>
        </w:rPr>
        <w:t xml:space="preserve">Tableau </w:t>
      </w:r>
      <w:r w:rsidR="00E72F8E">
        <w:rPr>
          <w:color w:val="000000" w:themeColor="text1"/>
          <w:sz w:val="22"/>
          <w:szCs w:val="22"/>
        </w:rPr>
        <w:fldChar w:fldCharType="begin"/>
      </w:r>
      <w:r w:rsidR="009844A2">
        <w:rPr>
          <w:color w:val="000000" w:themeColor="text1"/>
          <w:sz w:val="22"/>
          <w:szCs w:val="22"/>
        </w:rPr>
        <w:instrText xml:space="preserve"> STYLEREF 2 \s </w:instrText>
      </w:r>
      <w:r w:rsidR="00E72F8E">
        <w:rPr>
          <w:color w:val="000000" w:themeColor="text1"/>
          <w:sz w:val="22"/>
          <w:szCs w:val="22"/>
        </w:rPr>
        <w:fldChar w:fldCharType="separate"/>
      </w:r>
      <w:r w:rsidR="009844A2">
        <w:rPr>
          <w:noProof/>
          <w:color w:val="000000" w:themeColor="text1"/>
          <w:sz w:val="22"/>
          <w:szCs w:val="22"/>
        </w:rPr>
        <w:t>7.2</w:t>
      </w:r>
      <w:r w:rsidR="00E72F8E">
        <w:rPr>
          <w:color w:val="000000" w:themeColor="text1"/>
          <w:sz w:val="22"/>
          <w:szCs w:val="22"/>
        </w:rPr>
        <w:fldChar w:fldCharType="end"/>
      </w:r>
      <w:r w:rsidR="009844A2">
        <w:rPr>
          <w:color w:val="000000" w:themeColor="text1"/>
          <w:sz w:val="22"/>
          <w:szCs w:val="22"/>
        </w:rPr>
        <w:t>.</w:t>
      </w:r>
      <w:r w:rsidR="00E72F8E">
        <w:rPr>
          <w:color w:val="000000" w:themeColor="text1"/>
          <w:sz w:val="22"/>
          <w:szCs w:val="22"/>
        </w:rPr>
        <w:fldChar w:fldCharType="begin"/>
      </w:r>
      <w:r w:rsidR="009844A2">
        <w:rPr>
          <w:color w:val="000000" w:themeColor="text1"/>
          <w:sz w:val="22"/>
          <w:szCs w:val="22"/>
        </w:rPr>
        <w:instrText xml:space="preserve"> SEQ Tableau \* ARABIC \s 2 </w:instrText>
      </w:r>
      <w:r w:rsidR="00E72F8E">
        <w:rPr>
          <w:color w:val="000000" w:themeColor="text1"/>
          <w:sz w:val="22"/>
          <w:szCs w:val="22"/>
        </w:rPr>
        <w:fldChar w:fldCharType="separate"/>
      </w:r>
      <w:r w:rsidR="009844A2">
        <w:rPr>
          <w:noProof/>
          <w:color w:val="000000" w:themeColor="text1"/>
          <w:sz w:val="22"/>
          <w:szCs w:val="22"/>
        </w:rPr>
        <w:t>5</w:t>
      </w:r>
      <w:r w:rsidR="00E72F8E">
        <w:rPr>
          <w:color w:val="000000" w:themeColor="text1"/>
          <w:sz w:val="22"/>
          <w:szCs w:val="22"/>
        </w:rPr>
        <w:fldChar w:fldCharType="end"/>
      </w:r>
      <w:r w:rsidR="00E85F6F" w:rsidRPr="00D90EBA">
        <w:rPr>
          <w:color w:val="000000" w:themeColor="text1"/>
          <w:sz w:val="22"/>
          <w:szCs w:val="22"/>
          <w:lang w:eastAsia="en-US"/>
        </w:rPr>
        <w:t> : Répartition des dépenses de la  Santé de la Reproduction par fonction</w:t>
      </w:r>
      <w:bookmarkEnd w:id="101"/>
    </w:p>
    <w:p w:rsidR="00421171" w:rsidRPr="00947090" w:rsidRDefault="00421171" w:rsidP="00947090">
      <w:pPr>
        <w:rPr>
          <w:lang w:eastAsia="en-US"/>
        </w:rPr>
      </w:pPr>
    </w:p>
    <w:tbl>
      <w:tblPr>
        <w:tblStyle w:val="Grilledutableau1"/>
        <w:tblW w:w="5000" w:type="pct"/>
        <w:tblLook w:val="0000"/>
      </w:tblPr>
      <w:tblGrid>
        <w:gridCol w:w="7397"/>
        <w:gridCol w:w="1272"/>
        <w:gridCol w:w="953"/>
      </w:tblGrid>
      <w:tr w:rsidR="00C37361" w:rsidRPr="00947090" w:rsidTr="00421171">
        <w:trPr>
          <w:trHeight w:val="20"/>
        </w:trPr>
        <w:tc>
          <w:tcPr>
            <w:tcW w:w="3843" w:type="pct"/>
            <w:vAlign w:val="center"/>
          </w:tcPr>
          <w:p w:rsidR="00C37361" w:rsidRPr="00947090" w:rsidRDefault="00C37361" w:rsidP="00947090">
            <w:pPr>
              <w:spacing w:after="0" w:line="312" w:lineRule="auto"/>
              <w:jc w:val="left"/>
              <w:rPr>
                <w:b/>
                <w:lang w:eastAsia="fr-FR"/>
              </w:rPr>
            </w:pPr>
            <w:r w:rsidRPr="00947090">
              <w:rPr>
                <w:b/>
                <w:bCs w:val="0"/>
              </w:rPr>
              <w:t>Fonction de soins</w:t>
            </w:r>
          </w:p>
        </w:tc>
        <w:tc>
          <w:tcPr>
            <w:tcW w:w="661" w:type="pct"/>
            <w:vAlign w:val="center"/>
          </w:tcPr>
          <w:p w:rsidR="00C37361" w:rsidRPr="00947090" w:rsidRDefault="00C37361" w:rsidP="00947090">
            <w:pPr>
              <w:spacing w:after="0" w:line="312" w:lineRule="auto"/>
              <w:jc w:val="center"/>
              <w:rPr>
                <w:b/>
                <w:lang w:eastAsia="fr-FR"/>
              </w:rPr>
            </w:pPr>
            <w:r w:rsidRPr="00947090">
              <w:rPr>
                <w:b/>
                <w:bCs w:val="0"/>
              </w:rPr>
              <w:t>Dépenses</w:t>
            </w:r>
          </w:p>
        </w:tc>
        <w:tc>
          <w:tcPr>
            <w:tcW w:w="495" w:type="pct"/>
            <w:vAlign w:val="center"/>
          </w:tcPr>
          <w:p w:rsidR="00C37361" w:rsidRPr="00947090" w:rsidRDefault="00C37361" w:rsidP="00947090">
            <w:pPr>
              <w:spacing w:after="0" w:line="312" w:lineRule="auto"/>
              <w:jc w:val="center"/>
              <w:rPr>
                <w:b/>
                <w:lang w:eastAsia="fr-FR"/>
              </w:rPr>
            </w:pPr>
            <w:r w:rsidRPr="00947090">
              <w:rPr>
                <w:b/>
                <w:bCs w:val="0"/>
              </w:rPr>
              <w:t>%</w:t>
            </w:r>
          </w:p>
        </w:tc>
      </w:tr>
      <w:tr w:rsidR="00C37361" w:rsidRPr="00947090" w:rsidTr="00421171">
        <w:trPr>
          <w:trHeight w:val="20"/>
        </w:trPr>
        <w:tc>
          <w:tcPr>
            <w:tcW w:w="3843" w:type="pct"/>
            <w:vAlign w:val="center"/>
          </w:tcPr>
          <w:p w:rsidR="00C37361" w:rsidRPr="00947090" w:rsidRDefault="00C37361" w:rsidP="00947090">
            <w:pPr>
              <w:spacing w:after="0" w:line="312" w:lineRule="auto"/>
              <w:jc w:val="left"/>
              <w:rPr>
                <w:lang w:eastAsia="fr-FR"/>
              </w:rPr>
            </w:pPr>
            <w:r w:rsidRPr="00947090">
              <w:t>Soins curatifs</w:t>
            </w:r>
          </w:p>
        </w:tc>
        <w:tc>
          <w:tcPr>
            <w:tcW w:w="661" w:type="pct"/>
            <w:vAlign w:val="center"/>
          </w:tcPr>
          <w:p w:rsidR="00C37361" w:rsidRPr="00947090" w:rsidRDefault="00E930D5" w:rsidP="00947090">
            <w:pPr>
              <w:spacing w:after="0" w:line="312" w:lineRule="auto"/>
              <w:jc w:val="center"/>
              <w:rPr>
                <w:lang w:eastAsia="fr-FR"/>
              </w:rPr>
            </w:pPr>
            <w:r w:rsidRPr="00947090">
              <w:t>18 187,48</w:t>
            </w:r>
          </w:p>
        </w:tc>
        <w:tc>
          <w:tcPr>
            <w:tcW w:w="495" w:type="pct"/>
            <w:vAlign w:val="center"/>
          </w:tcPr>
          <w:p w:rsidR="00C37361" w:rsidRPr="00947090" w:rsidRDefault="00E930D5" w:rsidP="00947090">
            <w:pPr>
              <w:spacing w:after="0" w:line="312" w:lineRule="auto"/>
              <w:jc w:val="center"/>
              <w:rPr>
                <w:lang w:eastAsia="fr-FR"/>
              </w:rPr>
            </w:pPr>
            <w:r w:rsidRPr="00947090">
              <w:t>52,16</w:t>
            </w:r>
          </w:p>
        </w:tc>
      </w:tr>
      <w:tr w:rsidR="00C37361" w:rsidRPr="00947090" w:rsidTr="00421171">
        <w:trPr>
          <w:trHeight w:val="20"/>
        </w:trPr>
        <w:tc>
          <w:tcPr>
            <w:tcW w:w="3843" w:type="pct"/>
            <w:vAlign w:val="center"/>
          </w:tcPr>
          <w:p w:rsidR="00C37361" w:rsidRPr="00947090" w:rsidRDefault="00C37361" w:rsidP="00947090">
            <w:pPr>
              <w:spacing w:after="0" w:line="312" w:lineRule="auto"/>
              <w:jc w:val="left"/>
              <w:rPr>
                <w:lang w:eastAsia="fr-FR"/>
              </w:rPr>
            </w:pPr>
            <w:r w:rsidRPr="00947090">
              <w:t>Services auxiliaires (non-spécifié par fonction)</w:t>
            </w:r>
          </w:p>
        </w:tc>
        <w:tc>
          <w:tcPr>
            <w:tcW w:w="661" w:type="pct"/>
            <w:vAlign w:val="center"/>
          </w:tcPr>
          <w:p w:rsidR="00C37361" w:rsidRPr="00947090" w:rsidRDefault="00E930D5" w:rsidP="00947090">
            <w:pPr>
              <w:spacing w:after="0" w:line="312" w:lineRule="auto"/>
              <w:jc w:val="center"/>
              <w:rPr>
                <w:lang w:eastAsia="fr-FR"/>
              </w:rPr>
            </w:pPr>
            <w:r w:rsidRPr="00947090">
              <w:t>57,99</w:t>
            </w:r>
          </w:p>
        </w:tc>
        <w:tc>
          <w:tcPr>
            <w:tcW w:w="495" w:type="pct"/>
            <w:vAlign w:val="center"/>
          </w:tcPr>
          <w:p w:rsidR="00C37361" w:rsidRPr="00947090" w:rsidRDefault="00C37361" w:rsidP="00947090">
            <w:pPr>
              <w:spacing w:after="0" w:line="312" w:lineRule="auto"/>
              <w:jc w:val="center"/>
              <w:rPr>
                <w:lang w:eastAsia="fr-FR"/>
              </w:rPr>
            </w:pPr>
            <w:r w:rsidRPr="00947090">
              <w:t>0,</w:t>
            </w:r>
            <w:r w:rsidR="00E930D5" w:rsidRPr="00947090">
              <w:t>17</w:t>
            </w:r>
          </w:p>
        </w:tc>
      </w:tr>
      <w:tr w:rsidR="00C37361" w:rsidRPr="00947090" w:rsidTr="00421171">
        <w:trPr>
          <w:trHeight w:val="20"/>
        </w:trPr>
        <w:tc>
          <w:tcPr>
            <w:tcW w:w="3843" w:type="pct"/>
            <w:vAlign w:val="center"/>
          </w:tcPr>
          <w:p w:rsidR="00C37361" w:rsidRPr="00947090" w:rsidRDefault="00C37361" w:rsidP="00947090">
            <w:pPr>
              <w:spacing w:after="0" w:line="312" w:lineRule="auto"/>
              <w:jc w:val="left"/>
              <w:rPr>
                <w:lang w:eastAsia="fr-FR"/>
              </w:rPr>
            </w:pPr>
            <w:r w:rsidRPr="00947090">
              <w:t>Biens médicaux (non-spécifiés par fonction)</w:t>
            </w:r>
          </w:p>
        </w:tc>
        <w:tc>
          <w:tcPr>
            <w:tcW w:w="661" w:type="pct"/>
            <w:vAlign w:val="center"/>
          </w:tcPr>
          <w:p w:rsidR="00C37361" w:rsidRPr="00947090" w:rsidRDefault="00E930D5" w:rsidP="00947090">
            <w:pPr>
              <w:spacing w:after="0" w:line="312" w:lineRule="auto"/>
              <w:jc w:val="center"/>
              <w:rPr>
                <w:lang w:eastAsia="fr-FR"/>
              </w:rPr>
            </w:pPr>
            <w:r w:rsidRPr="00947090">
              <w:t>420,63</w:t>
            </w:r>
          </w:p>
        </w:tc>
        <w:tc>
          <w:tcPr>
            <w:tcW w:w="495" w:type="pct"/>
            <w:vAlign w:val="center"/>
          </w:tcPr>
          <w:p w:rsidR="00C37361" w:rsidRPr="00947090" w:rsidRDefault="00C37361" w:rsidP="00947090">
            <w:pPr>
              <w:spacing w:after="0" w:line="312" w:lineRule="auto"/>
              <w:jc w:val="center"/>
              <w:rPr>
                <w:lang w:eastAsia="fr-FR"/>
              </w:rPr>
            </w:pPr>
            <w:r w:rsidRPr="00947090">
              <w:t>1,</w:t>
            </w:r>
            <w:r w:rsidR="00E930D5" w:rsidRPr="00947090">
              <w:t>21</w:t>
            </w:r>
          </w:p>
        </w:tc>
      </w:tr>
      <w:tr w:rsidR="00C37361" w:rsidRPr="00947090" w:rsidTr="00421171">
        <w:trPr>
          <w:trHeight w:val="20"/>
        </w:trPr>
        <w:tc>
          <w:tcPr>
            <w:tcW w:w="3843" w:type="pct"/>
            <w:vAlign w:val="center"/>
          </w:tcPr>
          <w:p w:rsidR="00C37361" w:rsidRPr="00947090" w:rsidRDefault="00C37361" w:rsidP="00947090">
            <w:pPr>
              <w:spacing w:after="0" w:line="312" w:lineRule="auto"/>
              <w:jc w:val="left"/>
              <w:rPr>
                <w:lang w:eastAsia="fr-FR"/>
              </w:rPr>
            </w:pPr>
            <w:r w:rsidRPr="00947090">
              <w:t>Soins préventifs</w:t>
            </w:r>
          </w:p>
        </w:tc>
        <w:tc>
          <w:tcPr>
            <w:tcW w:w="661" w:type="pct"/>
            <w:vAlign w:val="center"/>
          </w:tcPr>
          <w:p w:rsidR="00C37361" w:rsidRPr="00947090" w:rsidRDefault="00E930D5" w:rsidP="00947090">
            <w:pPr>
              <w:spacing w:after="0" w:line="312" w:lineRule="auto"/>
              <w:jc w:val="center"/>
              <w:rPr>
                <w:lang w:eastAsia="fr-FR"/>
              </w:rPr>
            </w:pPr>
            <w:r w:rsidRPr="00947090">
              <w:t>15724,84</w:t>
            </w:r>
          </w:p>
        </w:tc>
        <w:tc>
          <w:tcPr>
            <w:tcW w:w="495" w:type="pct"/>
            <w:vAlign w:val="center"/>
          </w:tcPr>
          <w:p w:rsidR="00C37361" w:rsidRPr="00947090" w:rsidRDefault="00E930D5" w:rsidP="00947090">
            <w:pPr>
              <w:spacing w:after="0" w:line="312" w:lineRule="auto"/>
              <w:jc w:val="center"/>
              <w:rPr>
                <w:lang w:eastAsia="fr-FR"/>
              </w:rPr>
            </w:pPr>
            <w:r w:rsidRPr="00947090">
              <w:t>45</w:t>
            </w:r>
            <w:r w:rsidR="00C37361" w:rsidRPr="00947090">
              <w:t>,</w:t>
            </w:r>
            <w:r w:rsidRPr="00947090">
              <w:t>10</w:t>
            </w:r>
          </w:p>
        </w:tc>
      </w:tr>
      <w:tr w:rsidR="00C37361" w:rsidRPr="00947090" w:rsidTr="00421171">
        <w:trPr>
          <w:trHeight w:val="20"/>
        </w:trPr>
        <w:tc>
          <w:tcPr>
            <w:tcW w:w="3843" w:type="pct"/>
            <w:vAlign w:val="center"/>
          </w:tcPr>
          <w:p w:rsidR="00C37361" w:rsidRPr="00947090" w:rsidRDefault="00C37361" w:rsidP="00947090">
            <w:pPr>
              <w:spacing w:after="0" w:line="312" w:lineRule="auto"/>
              <w:jc w:val="left"/>
              <w:rPr>
                <w:lang w:eastAsia="fr-FR"/>
              </w:rPr>
            </w:pPr>
            <w:r w:rsidRPr="00947090">
              <w:t>Gouvernance, administration du système de santé et des financements</w:t>
            </w:r>
          </w:p>
        </w:tc>
        <w:tc>
          <w:tcPr>
            <w:tcW w:w="661" w:type="pct"/>
            <w:vAlign w:val="center"/>
          </w:tcPr>
          <w:p w:rsidR="00C37361" w:rsidRPr="00947090" w:rsidRDefault="00E930D5" w:rsidP="00947090">
            <w:pPr>
              <w:spacing w:after="0" w:line="312" w:lineRule="auto"/>
              <w:jc w:val="center"/>
              <w:rPr>
                <w:lang w:eastAsia="fr-FR"/>
              </w:rPr>
            </w:pPr>
            <w:r w:rsidRPr="00947090">
              <w:t>478,81</w:t>
            </w:r>
          </w:p>
        </w:tc>
        <w:tc>
          <w:tcPr>
            <w:tcW w:w="495" w:type="pct"/>
            <w:vAlign w:val="center"/>
          </w:tcPr>
          <w:p w:rsidR="00C37361" w:rsidRPr="00947090" w:rsidRDefault="006B7562" w:rsidP="00947090">
            <w:pPr>
              <w:spacing w:after="0" w:line="312" w:lineRule="auto"/>
              <w:jc w:val="center"/>
              <w:rPr>
                <w:lang w:eastAsia="fr-FR"/>
              </w:rPr>
            </w:pPr>
            <w:r w:rsidRPr="00947090">
              <w:t>1</w:t>
            </w:r>
            <w:r w:rsidR="00C37361" w:rsidRPr="00947090">
              <w:t>,</w:t>
            </w:r>
            <w:r w:rsidRPr="00947090">
              <w:t>37</w:t>
            </w:r>
          </w:p>
        </w:tc>
      </w:tr>
      <w:tr w:rsidR="00C37361" w:rsidRPr="00947090" w:rsidTr="00421171">
        <w:trPr>
          <w:trHeight w:val="20"/>
        </w:trPr>
        <w:tc>
          <w:tcPr>
            <w:tcW w:w="3843" w:type="pct"/>
            <w:vAlign w:val="center"/>
          </w:tcPr>
          <w:p w:rsidR="00C37361" w:rsidRPr="00947090" w:rsidRDefault="00C37361" w:rsidP="00947090">
            <w:pPr>
              <w:spacing w:after="0" w:line="312" w:lineRule="auto"/>
              <w:jc w:val="left"/>
              <w:rPr>
                <w:b/>
                <w:lang w:eastAsia="fr-FR"/>
              </w:rPr>
            </w:pPr>
            <w:r w:rsidRPr="00947090">
              <w:rPr>
                <w:b/>
                <w:bCs w:val="0"/>
              </w:rPr>
              <w:t>TOTAL</w:t>
            </w:r>
          </w:p>
        </w:tc>
        <w:tc>
          <w:tcPr>
            <w:tcW w:w="661" w:type="pct"/>
            <w:vAlign w:val="center"/>
          </w:tcPr>
          <w:p w:rsidR="00C37361" w:rsidRPr="00947090" w:rsidRDefault="006B7562" w:rsidP="00947090">
            <w:pPr>
              <w:spacing w:after="0" w:line="312" w:lineRule="auto"/>
              <w:jc w:val="center"/>
              <w:rPr>
                <w:b/>
                <w:lang w:eastAsia="fr-FR"/>
              </w:rPr>
            </w:pPr>
            <w:r w:rsidRPr="00947090">
              <w:rPr>
                <w:b/>
                <w:bCs w:val="0"/>
              </w:rPr>
              <w:t>34 868,97</w:t>
            </w:r>
          </w:p>
        </w:tc>
        <w:tc>
          <w:tcPr>
            <w:tcW w:w="495" w:type="pct"/>
            <w:vAlign w:val="center"/>
          </w:tcPr>
          <w:p w:rsidR="00C37361" w:rsidRPr="00947090" w:rsidRDefault="00C37361" w:rsidP="00947090">
            <w:pPr>
              <w:spacing w:after="0" w:line="312" w:lineRule="auto"/>
              <w:jc w:val="center"/>
              <w:rPr>
                <w:b/>
                <w:lang w:eastAsia="fr-FR"/>
              </w:rPr>
            </w:pPr>
            <w:r w:rsidRPr="00947090">
              <w:t>100,00</w:t>
            </w:r>
          </w:p>
        </w:tc>
      </w:tr>
    </w:tbl>
    <w:p w:rsidR="00E85F6F" w:rsidRPr="00CE3004" w:rsidRDefault="00E85F6F" w:rsidP="00E508D1">
      <w:pPr>
        <w:spacing w:before="240" w:line="312" w:lineRule="auto"/>
        <w:rPr>
          <w:lang w:eastAsia="en-US"/>
        </w:rPr>
      </w:pPr>
      <w:r w:rsidRPr="00CE3004">
        <w:rPr>
          <w:lang w:eastAsia="en-US"/>
        </w:rPr>
        <w:t>Les dépenses de la SR sont orientées essentiellemen</w:t>
      </w:r>
      <w:r w:rsidR="008D7C75">
        <w:rPr>
          <w:lang w:eastAsia="en-US"/>
        </w:rPr>
        <w:t xml:space="preserve">t vers les soins préventifs. </w:t>
      </w:r>
      <w:r w:rsidRPr="00CE3004">
        <w:rPr>
          <w:lang w:eastAsia="en-US"/>
        </w:rPr>
        <w:t>Ces soins, constitués de l’IEC, du suivi de l’état de santé de la femme, de la prise en charge d’une contraception ont couté 72% des dépenses courantes de la SR. Les biens médicaux, c’est-à-dire les produits contraceptifs occupent une part faible avec 2%.</w:t>
      </w:r>
    </w:p>
    <w:p w:rsidR="00E70CE5" w:rsidRPr="00CE3004" w:rsidRDefault="00FA5B1C" w:rsidP="0095704D">
      <w:pPr>
        <w:pStyle w:val="Titre3"/>
        <w:rPr>
          <w:lang w:eastAsia="en-US"/>
        </w:rPr>
      </w:pPr>
      <w:bookmarkStart w:id="102" w:name="_Toc413941278"/>
      <w:r>
        <w:rPr>
          <w:lang w:eastAsia="en-US"/>
        </w:rPr>
        <w:t xml:space="preserve">7.2.6. </w:t>
      </w:r>
      <w:r w:rsidR="00E70CE5" w:rsidRPr="00CE3004">
        <w:rPr>
          <w:lang w:eastAsia="en-US"/>
        </w:rPr>
        <w:t>Répartition des dépenses  de la SR par domaine</w:t>
      </w:r>
      <w:bookmarkEnd w:id="102"/>
    </w:p>
    <w:p w:rsidR="009844A2" w:rsidRDefault="008D7C75" w:rsidP="00587784">
      <w:pPr>
        <w:spacing w:line="312" w:lineRule="auto"/>
        <w:rPr>
          <w:b/>
          <w:lang w:eastAsia="en-US"/>
        </w:rPr>
      </w:pPr>
      <w:r>
        <w:rPr>
          <w:lang w:eastAsia="en-US"/>
        </w:rPr>
        <w:t>Le tableau 7.2.6</w:t>
      </w:r>
      <w:r w:rsidR="00E70CE5" w:rsidRPr="00CE3004">
        <w:rPr>
          <w:lang w:eastAsia="en-US"/>
        </w:rPr>
        <w:t xml:space="preserve"> récapitule la répartition des dépenses de SR par domaine d’intervention.</w:t>
      </w:r>
    </w:p>
    <w:p w:rsidR="00225E38" w:rsidRDefault="009844A2" w:rsidP="009844A2">
      <w:pPr>
        <w:pStyle w:val="Lgende"/>
        <w:rPr>
          <w:color w:val="000000" w:themeColor="text1"/>
          <w:sz w:val="22"/>
          <w:szCs w:val="22"/>
          <w:lang w:eastAsia="en-US"/>
        </w:rPr>
      </w:pPr>
      <w:bookmarkStart w:id="103" w:name="_Toc483991290"/>
      <w:r w:rsidRPr="009844A2">
        <w:rPr>
          <w:color w:val="000000" w:themeColor="text1"/>
          <w:sz w:val="22"/>
          <w:szCs w:val="22"/>
        </w:rPr>
        <w:t xml:space="preserve">Tableau </w:t>
      </w:r>
      <w:r w:rsidR="00E72F8E" w:rsidRPr="009844A2">
        <w:rPr>
          <w:color w:val="000000" w:themeColor="text1"/>
          <w:sz w:val="22"/>
          <w:szCs w:val="22"/>
        </w:rPr>
        <w:fldChar w:fldCharType="begin"/>
      </w:r>
      <w:r w:rsidRPr="009844A2">
        <w:rPr>
          <w:color w:val="000000" w:themeColor="text1"/>
          <w:sz w:val="22"/>
          <w:szCs w:val="22"/>
        </w:rPr>
        <w:instrText xml:space="preserve"> STYLEREF 2 \s </w:instrText>
      </w:r>
      <w:r w:rsidR="00E72F8E" w:rsidRPr="009844A2">
        <w:rPr>
          <w:color w:val="000000" w:themeColor="text1"/>
          <w:sz w:val="22"/>
          <w:szCs w:val="22"/>
        </w:rPr>
        <w:fldChar w:fldCharType="separate"/>
      </w:r>
      <w:r w:rsidRPr="009844A2">
        <w:rPr>
          <w:noProof/>
          <w:color w:val="000000" w:themeColor="text1"/>
          <w:sz w:val="22"/>
          <w:szCs w:val="22"/>
        </w:rPr>
        <w:t>7.2</w:t>
      </w:r>
      <w:r w:rsidR="00E72F8E" w:rsidRPr="009844A2">
        <w:rPr>
          <w:color w:val="000000" w:themeColor="text1"/>
          <w:sz w:val="22"/>
          <w:szCs w:val="22"/>
        </w:rPr>
        <w:fldChar w:fldCharType="end"/>
      </w:r>
      <w:r w:rsidRPr="009844A2">
        <w:rPr>
          <w:color w:val="000000" w:themeColor="text1"/>
          <w:sz w:val="22"/>
          <w:szCs w:val="22"/>
        </w:rPr>
        <w:t>.</w:t>
      </w:r>
      <w:r w:rsidR="00E72F8E" w:rsidRPr="009844A2">
        <w:rPr>
          <w:color w:val="000000" w:themeColor="text1"/>
          <w:sz w:val="22"/>
          <w:szCs w:val="22"/>
        </w:rPr>
        <w:fldChar w:fldCharType="begin"/>
      </w:r>
      <w:r w:rsidRPr="009844A2">
        <w:rPr>
          <w:color w:val="000000" w:themeColor="text1"/>
          <w:sz w:val="22"/>
          <w:szCs w:val="22"/>
        </w:rPr>
        <w:instrText xml:space="preserve"> SEQ Tableau \* ARABIC \s 2 </w:instrText>
      </w:r>
      <w:r w:rsidR="00E72F8E" w:rsidRPr="009844A2">
        <w:rPr>
          <w:color w:val="000000" w:themeColor="text1"/>
          <w:sz w:val="22"/>
          <w:szCs w:val="22"/>
        </w:rPr>
        <w:fldChar w:fldCharType="separate"/>
      </w:r>
      <w:r w:rsidRPr="009844A2">
        <w:rPr>
          <w:noProof/>
          <w:color w:val="000000" w:themeColor="text1"/>
          <w:sz w:val="22"/>
          <w:szCs w:val="22"/>
        </w:rPr>
        <w:t>6</w:t>
      </w:r>
      <w:r w:rsidR="00E72F8E" w:rsidRPr="009844A2">
        <w:rPr>
          <w:color w:val="000000" w:themeColor="text1"/>
          <w:sz w:val="22"/>
          <w:szCs w:val="22"/>
        </w:rPr>
        <w:fldChar w:fldCharType="end"/>
      </w:r>
      <w:r w:rsidR="006A5DBC" w:rsidRPr="009844A2">
        <w:rPr>
          <w:color w:val="000000" w:themeColor="text1"/>
          <w:sz w:val="22"/>
          <w:szCs w:val="22"/>
          <w:lang w:eastAsia="en-US"/>
        </w:rPr>
        <w:t xml:space="preserve">: Répartition des dépenses de la Santé de la Reproduction  par </w:t>
      </w:r>
      <w:r w:rsidR="00243954" w:rsidRPr="009844A2">
        <w:rPr>
          <w:color w:val="000000" w:themeColor="text1"/>
          <w:sz w:val="22"/>
          <w:szCs w:val="22"/>
          <w:lang w:eastAsia="en-US"/>
        </w:rPr>
        <w:t>domaine.</w:t>
      </w:r>
      <w:bookmarkEnd w:id="103"/>
    </w:p>
    <w:tbl>
      <w:tblPr>
        <w:tblStyle w:val="Ombrageclair1"/>
        <w:tblW w:w="9913" w:type="dxa"/>
        <w:tblLook w:val="04A0"/>
      </w:tblPr>
      <w:tblGrid>
        <w:gridCol w:w="7191"/>
        <w:gridCol w:w="1616"/>
        <w:gridCol w:w="1106"/>
      </w:tblGrid>
      <w:tr w:rsidR="00FA5B1C" w:rsidRPr="00FA5B1C" w:rsidTr="00FA5B1C">
        <w:trPr>
          <w:cnfStyle w:val="100000000000"/>
          <w:trHeight w:val="315"/>
        </w:trPr>
        <w:tc>
          <w:tcPr>
            <w:cnfStyle w:val="001000000000"/>
            <w:tcW w:w="7191" w:type="dxa"/>
            <w:noWrap/>
            <w:hideMark/>
          </w:tcPr>
          <w:p w:rsidR="00FA5B1C" w:rsidRPr="00FA5B1C" w:rsidRDefault="00FA5B1C" w:rsidP="00FA5B1C">
            <w:pPr>
              <w:autoSpaceDE/>
              <w:autoSpaceDN/>
              <w:adjustRightInd/>
              <w:spacing w:after="0" w:line="240" w:lineRule="auto"/>
              <w:jc w:val="left"/>
              <w:rPr>
                <w:rFonts w:eastAsia="Times New Roman"/>
                <w:lang w:eastAsia="fr-FR"/>
              </w:rPr>
            </w:pPr>
            <w:r w:rsidRPr="00FA5B1C">
              <w:rPr>
                <w:rFonts w:eastAsia="Times New Roman"/>
                <w:lang w:eastAsia="fr-FR"/>
              </w:rPr>
              <w:t>Affections</w:t>
            </w:r>
          </w:p>
        </w:tc>
        <w:tc>
          <w:tcPr>
            <w:tcW w:w="1616" w:type="dxa"/>
            <w:noWrap/>
            <w:hideMark/>
          </w:tcPr>
          <w:p w:rsidR="00FA5B1C" w:rsidRPr="00FA5B1C" w:rsidRDefault="00FA5B1C" w:rsidP="00FA5B1C">
            <w:pPr>
              <w:autoSpaceDE/>
              <w:autoSpaceDN/>
              <w:adjustRightInd/>
              <w:spacing w:after="0" w:line="240" w:lineRule="auto"/>
              <w:jc w:val="center"/>
              <w:cnfStyle w:val="100000000000"/>
              <w:rPr>
                <w:rFonts w:eastAsia="Times New Roman"/>
                <w:lang w:eastAsia="fr-FR"/>
              </w:rPr>
            </w:pPr>
            <w:r w:rsidRPr="00FA5B1C">
              <w:rPr>
                <w:rFonts w:eastAsia="Times New Roman"/>
                <w:lang w:eastAsia="fr-FR"/>
              </w:rPr>
              <w:t>Dépenses</w:t>
            </w:r>
          </w:p>
        </w:tc>
        <w:tc>
          <w:tcPr>
            <w:tcW w:w="1106" w:type="dxa"/>
            <w:noWrap/>
            <w:hideMark/>
          </w:tcPr>
          <w:p w:rsidR="00FA5B1C" w:rsidRPr="00FA5B1C" w:rsidRDefault="00FA5B1C" w:rsidP="00FA5B1C">
            <w:pPr>
              <w:autoSpaceDE/>
              <w:autoSpaceDN/>
              <w:adjustRightInd/>
              <w:spacing w:after="0" w:line="240" w:lineRule="auto"/>
              <w:jc w:val="center"/>
              <w:cnfStyle w:val="100000000000"/>
              <w:rPr>
                <w:rFonts w:eastAsia="Times New Roman"/>
                <w:lang w:eastAsia="fr-FR"/>
              </w:rPr>
            </w:pPr>
            <w:r w:rsidRPr="00FA5B1C">
              <w:rPr>
                <w:rFonts w:eastAsia="Times New Roman"/>
                <w:lang w:eastAsia="fr-FR"/>
              </w:rPr>
              <w:t>%</w:t>
            </w:r>
          </w:p>
        </w:tc>
      </w:tr>
      <w:tr w:rsidR="00FA5B1C" w:rsidRPr="00FA5B1C" w:rsidTr="00947090">
        <w:trPr>
          <w:cnfStyle w:val="000000100000"/>
          <w:trHeight w:val="280"/>
        </w:trPr>
        <w:tc>
          <w:tcPr>
            <w:cnfStyle w:val="001000000000"/>
            <w:tcW w:w="7191" w:type="dxa"/>
            <w:hideMark/>
          </w:tcPr>
          <w:p w:rsidR="00FA5B1C" w:rsidRPr="00FA5B1C" w:rsidRDefault="00FA5B1C" w:rsidP="00FA5B1C">
            <w:pPr>
              <w:autoSpaceDE/>
              <w:autoSpaceDN/>
              <w:adjustRightInd/>
              <w:spacing w:after="0" w:line="240" w:lineRule="auto"/>
              <w:jc w:val="left"/>
              <w:rPr>
                <w:rFonts w:eastAsia="Times New Roman"/>
                <w:lang w:eastAsia="fr-FR"/>
              </w:rPr>
            </w:pPr>
            <w:r w:rsidRPr="00FA5B1C">
              <w:rPr>
                <w:rFonts w:eastAsia="Times New Roman"/>
                <w:lang w:eastAsia="fr-FR"/>
              </w:rPr>
              <w:t>Affections maternelles</w:t>
            </w:r>
          </w:p>
        </w:tc>
        <w:tc>
          <w:tcPr>
            <w:tcW w:w="1616" w:type="dxa"/>
            <w:noWrap/>
            <w:hideMark/>
          </w:tcPr>
          <w:p w:rsidR="00FA5B1C" w:rsidRPr="00FA5B1C" w:rsidRDefault="00FA5B1C" w:rsidP="00FA5B1C">
            <w:pPr>
              <w:autoSpaceDE/>
              <w:autoSpaceDN/>
              <w:adjustRightInd/>
              <w:spacing w:after="0" w:line="240" w:lineRule="auto"/>
              <w:jc w:val="center"/>
              <w:cnfStyle w:val="000000100000"/>
              <w:rPr>
                <w:rFonts w:eastAsia="Times New Roman"/>
                <w:bCs w:val="0"/>
                <w:lang w:eastAsia="fr-FR"/>
              </w:rPr>
            </w:pPr>
            <w:r w:rsidRPr="00FA5B1C">
              <w:rPr>
                <w:rFonts w:eastAsia="Times New Roman"/>
                <w:bCs w:val="0"/>
                <w:lang w:eastAsia="fr-FR"/>
              </w:rPr>
              <w:t>10 159,42</w:t>
            </w:r>
          </w:p>
        </w:tc>
        <w:tc>
          <w:tcPr>
            <w:tcW w:w="1106" w:type="dxa"/>
            <w:noWrap/>
            <w:hideMark/>
          </w:tcPr>
          <w:p w:rsidR="00FA5B1C" w:rsidRPr="00FA5B1C" w:rsidRDefault="00FA5B1C" w:rsidP="00FA5B1C">
            <w:pPr>
              <w:autoSpaceDE/>
              <w:autoSpaceDN/>
              <w:adjustRightInd/>
              <w:spacing w:after="0" w:line="240" w:lineRule="auto"/>
              <w:jc w:val="center"/>
              <w:cnfStyle w:val="000000100000"/>
              <w:rPr>
                <w:rFonts w:eastAsia="Times New Roman"/>
                <w:bCs w:val="0"/>
                <w:lang w:eastAsia="fr-FR"/>
              </w:rPr>
            </w:pPr>
            <w:r w:rsidRPr="00FA5B1C">
              <w:rPr>
                <w:rFonts w:eastAsia="Times New Roman"/>
                <w:bCs w:val="0"/>
                <w:lang w:eastAsia="fr-FR"/>
              </w:rPr>
              <w:t>29,14</w:t>
            </w:r>
          </w:p>
        </w:tc>
      </w:tr>
      <w:tr w:rsidR="00FA5B1C" w:rsidRPr="00FA5B1C" w:rsidTr="00947090">
        <w:trPr>
          <w:trHeight w:val="80"/>
        </w:trPr>
        <w:tc>
          <w:tcPr>
            <w:cnfStyle w:val="001000000000"/>
            <w:tcW w:w="7191" w:type="dxa"/>
            <w:hideMark/>
          </w:tcPr>
          <w:p w:rsidR="00FA5B1C" w:rsidRPr="00FA5B1C" w:rsidRDefault="00FA5B1C" w:rsidP="00FA5B1C">
            <w:pPr>
              <w:autoSpaceDE/>
              <w:autoSpaceDN/>
              <w:adjustRightInd/>
              <w:spacing w:after="0" w:line="240" w:lineRule="auto"/>
              <w:jc w:val="left"/>
              <w:rPr>
                <w:rFonts w:eastAsia="Times New Roman"/>
                <w:lang w:eastAsia="fr-FR"/>
              </w:rPr>
            </w:pPr>
            <w:r w:rsidRPr="00FA5B1C">
              <w:rPr>
                <w:rFonts w:eastAsia="Times New Roman"/>
                <w:lang w:eastAsia="fr-FR"/>
              </w:rPr>
              <w:t>Affections périnatales</w:t>
            </w:r>
          </w:p>
        </w:tc>
        <w:tc>
          <w:tcPr>
            <w:tcW w:w="1616" w:type="dxa"/>
            <w:noWrap/>
            <w:hideMark/>
          </w:tcPr>
          <w:p w:rsidR="00FA5B1C" w:rsidRPr="00FA5B1C" w:rsidRDefault="00FA5B1C" w:rsidP="00FA5B1C">
            <w:pPr>
              <w:autoSpaceDE/>
              <w:autoSpaceDN/>
              <w:adjustRightInd/>
              <w:spacing w:after="0" w:line="240" w:lineRule="auto"/>
              <w:jc w:val="center"/>
              <w:cnfStyle w:val="000000000000"/>
              <w:rPr>
                <w:rFonts w:eastAsia="Times New Roman"/>
                <w:bCs w:val="0"/>
                <w:lang w:eastAsia="fr-FR"/>
              </w:rPr>
            </w:pPr>
            <w:r w:rsidRPr="00FA5B1C">
              <w:rPr>
                <w:rFonts w:eastAsia="Times New Roman"/>
                <w:bCs w:val="0"/>
                <w:lang w:eastAsia="fr-FR"/>
              </w:rPr>
              <w:t>13 621,83</w:t>
            </w:r>
          </w:p>
        </w:tc>
        <w:tc>
          <w:tcPr>
            <w:tcW w:w="1106" w:type="dxa"/>
            <w:noWrap/>
            <w:hideMark/>
          </w:tcPr>
          <w:p w:rsidR="00FA5B1C" w:rsidRPr="00FA5B1C" w:rsidRDefault="00FA5B1C" w:rsidP="00FA5B1C">
            <w:pPr>
              <w:autoSpaceDE/>
              <w:autoSpaceDN/>
              <w:adjustRightInd/>
              <w:spacing w:after="0" w:line="240" w:lineRule="auto"/>
              <w:jc w:val="center"/>
              <w:cnfStyle w:val="000000000000"/>
              <w:rPr>
                <w:rFonts w:eastAsia="Times New Roman"/>
                <w:bCs w:val="0"/>
                <w:lang w:eastAsia="fr-FR"/>
              </w:rPr>
            </w:pPr>
            <w:r w:rsidRPr="00FA5B1C">
              <w:rPr>
                <w:rFonts w:eastAsia="Times New Roman"/>
                <w:bCs w:val="0"/>
                <w:lang w:eastAsia="fr-FR"/>
              </w:rPr>
              <w:t>39,07</w:t>
            </w:r>
          </w:p>
        </w:tc>
      </w:tr>
      <w:tr w:rsidR="00FA5B1C" w:rsidRPr="00FA5B1C" w:rsidTr="00947090">
        <w:trPr>
          <w:cnfStyle w:val="000000100000"/>
          <w:trHeight w:val="440"/>
        </w:trPr>
        <w:tc>
          <w:tcPr>
            <w:cnfStyle w:val="001000000000"/>
            <w:tcW w:w="7191" w:type="dxa"/>
            <w:hideMark/>
          </w:tcPr>
          <w:p w:rsidR="00FA5B1C" w:rsidRPr="00FA5B1C" w:rsidRDefault="00FA5B1C" w:rsidP="00FA5B1C">
            <w:pPr>
              <w:autoSpaceDE/>
              <w:autoSpaceDN/>
              <w:adjustRightInd/>
              <w:spacing w:after="0" w:line="240" w:lineRule="auto"/>
              <w:jc w:val="left"/>
              <w:rPr>
                <w:rFonts w:eastAsia="Times New Roman"/>
                <w:lang w:eastAsia="fr-FR"/>
              </w:rPr>
            </w:pPr>
            <w:r w:rsidRPr="00FA5B1C">
              <w:rPr>
                <w:rFonts w:eastAsia="Times New Roman"/>
                <w:lang w:eastAsia="fr-FR"/>
              </w:rPr>
              <w:t>Prise en charge d'une contraception (planning familial)</w:t>
            </w:r>
          </w:p>
        </w:tc>
        <w:tc>
          <w:tcPr>
            <w:tcW w:w="1616" w:type="dxa"/>
            <w:noWrap/>
            <w:hideMark/>
          </w:tcPr>
          <w:p w:rsidR="00FA5B1C" w:rsidRPr="00FA5B1C" w:rsidRDefault="00FA5B1C" w:rsidP="00FA5B1C">
            <w:pPr>
              <w:autoSpaceDE/>
              <w:autoSpaceDN/>
              <w:adjustRightInd/>
              <w:spacing w:after="0" w:line="240" w:lineRule="auto"/>
              <w:jc w:val="center"/>
              <w:cnfStyle w:val="000000100000"/>
              <w:rPr>
                <w:rFonts w:eastAsia="Times New Roman"/>
                <w:bCs w:val="0"/>
                <w:lang w:eastAsia="fr-FR"/>
              </w:rPr>
            </w:pPr>
            <w:r w:rsidRPr="00FA5B1C">
              <w:rPr>
                <w:rFonts w:eastAsia="Times New Roman"/>
                <w:bCs w:val="0"/>
                <w:lang w:eastAsia="fr-FR"/>
              </w:rPr>
              <w:t>10 118,91</w:t>
            </w:r>
          </w:p>
        </w:tc>
        <w:tc>
          <w:tcPr>
            <w:tcW w:w="1106" w:type="dxa"/>
            <w:noWrap/>
            <w:hideMark/>
          </w:tcPr>
          <w:p w:rsidR="00FA5B1C" w:rsidRPr="00FA5B1C" w:rsidRDefault="00FA5B1C" w:rsidP="00FA5B1C">
            <w:pPr>
              <w:autoSpaceDE/>
              <w:autoSpaceDN/>
              <w:adjustRightInd/>
              <w:spacing w:after="0" w:line="240" w:lineRule="auto"/>
              <w:jc w:val="center"/>
              <w:cnfStyle w:val="000000100000"/>
              <w:rPr>
                <w:rFonts w:eastAsia="Times New Roman"/>
                <w:bCs w:val="0"/>
                <w:lang w:eastAsia="fr-FR"/>
              </w:rPr>
            </w:pPr>
            <w:r w:rsidRPr="00FA5B1C">
              <w:rPr>
                <w:rFonts w:eastAsia="Times New Roman"/>
                <w:bCs w:val="0"/>
                <w:lang w:eastAsia="fr-FR"/>
              </w:rPr>
              <w:t>29,02</w:t>
            </w:r>
          </w:p>
        </w:tc>
      </w:tr>
      <w:tr w:rsidR="00FA5B1C" w:rsidRPr="00FA5B1C" w:rsidTr="00947090">
        <w:trPr>
          <w:trHeight w:val="290"/>
        </w:trPr>
        <w:tc>
          <w:tcPr>
            <w:cnfStyle w:val="001000000000"/>
            <w:tcW w:w="7191" w:type="dxa"/>
            <w:hideMark/>
          </w:tcPr>
          <w:p w:rsidR="00FA5B1C" w:rsidRPr="00FA5B1C" w:rsidRDefault="00FA5B1C" w:rsidP="00FA5B1C">
            <w:pPr>
              <w:autoSpaceDE/>
              <w:autoSpaceDN/>
              <w:adjustRightInd/>
              <w:spacing w:after="0" w:line="240" w:lineRule="auto"/>
              <w:jc w:val="left"/>
              <w:rPr>
                <w:rFonts w:eastAsia="Times New Roman"/>
                <w:lang w:eastAsia="fr-FR"/>
              </w:rPr>
            </w:pPr>
            <w:r w:rsidRPr="00FA5B1C">
              <w:rPr>
                <w:rFonts w:eastAsia="Times New Roman"/>
                <w:lang w:eastAsia="fr-FR"/>
              </w:rPr>
              <w:t>Prise en charge de la Césarienne</w:t>
            </w:r>
          </w:p>
        </w:tc>
        <w:tc>
          <w:tcPr>
            <w:tcW w:w="1616" w:type="dxa"/>
            <w:noWrap/>
            <w:hideMark/>
          </w:tcPr>
          <w:p w:rsidR="00FA5B1C" w:rsidRPr="00FA5B1C" w:rsidRDefault="00FA5B1C" w:rsidP="00FA5B1C">
            <w:pPr>
              <w:autoSpaceDE/>
              <w:autoSpaceDN/>
              <w:adjustRightInd/>
              <w:spacing w:after="0" w:line="240" w:lineRule="auto"/>
              <w:jc w:val="center"/>
              <w:cnfStyle w:val="000000000000"/>
              <w:rPr>
                <w:rFonts w:eastAsia="Times New Roman"/>
                <w:bCs w:val="0"/>
                <w:lang w:eastAsia="fr-FR"/>
              </w:rPr>
            </w:pPr>
            <w:r w:rsidRPr="00FA5B1C">
              <w:rPr>
                <w:rFonts w:eastAsia="Times New Roman"/>
                <w:bCs w:val="0"/>
                <w:lang w:eastAsia="fr-FR"/>
              </w:rPr>
              <w:t>968,82</w:t>
            </w:r>
          </w:p>
        </w:tc>
        <w:tc>
          <w:tcPr>
            <w:tcW w:w="1106" w:type="dxa"/>
            <w:noWrap/>
            <w:hideMark/>
          </w:tcPr>
          <w:p w:rsidR="00FA5B1C" w:rsidRPr="00FA5B1C" w:rsidRDefault="00FA5B1C" w:rsidP="00FA5B1C">
            <w:pPr>
              <w:autoSpaceDE/>
              <w:autoSpaceDN/>
              <w:adjustRightInd/>
              <w:spacing w:after="0" w:line="240" w:lineRule="auto"/>
              <w:jc w:val="center"/>
              <w:cnfStyle w:val="000000000000"/>
              <w:rPr>
                <w:rFonts w:eastAsia="Times New Roman"/>
                <w:bCs w:val="0"/>
                <w:lang w:eastAsia="fr-FR"/>
              </w:rPr>
            </w:pPr>
            <w:r w:rsidRPr="00FA5B1C">
              <w:rPr>
                <w:rFonts w:eastAsia="Times New Roman"/>
                <w:bCs w:val="0"/>
                <w:lang w:eastAsia="fr-FR"/>
              </w:rPr>
              <w:t>2,78</w:t>
            </w:r>
          </w:p>
        </w:tc>
      </w:tr>
      <w:tr w:rsidR="00FA5B1C" w:rsidRPr="00FA5B1C" w:rsidTr="00FA5B1C">
        <w:trPr>
          <w:cnfStyle w:val="000000100000"/>
          <w:trHeight w:val="315"/>
        </w:trPr>
        <w:tc>
          <w:tcPr>
            <w:cnfStyle w:val="001000000000"/>
            <w:tcW w:w="7191" w:type="dxa"/>
            <w:hideMark/>
          </w:tcPr>
          <w:p w:rsidR="00FA5B1C" w:rsidRPr="00FA5B1C" w:rsidRDefault="00FA5B1C" w:rsidP="00FA5B1C">
            <w:pPr>
              <w:autoSpaceDE/>
              <w:autoSpaceDN/>
              <w:adjustRightInd/>
              <w:spacing w:after="0" w:line="240" w:lineRule="auto"/>
              <w:jc w:val="left"/>
              <w:rPr>
                <w:rFonts w:eastAsia="Times New Roman"/>
                <w:lang w:eastAsia="fr-FR"/>
              </w:rPr>
            </w:pPr>
            <w:r w:rsidRPr="00FA5B1C">
              <w:rPr>
                <w:rFonts w:eastAsia="Times New Roman"/>
                <w:lang w:eastAsia="fr-FR"/>
              </w:rPr>
              <w:t>Total</w:t>
            </w:r>
          </w:p>
        </w:tc>
        <w:tc>
          <w:tcPr>
            <w:tcW w:w="1616" w:type="dxa"/>
            <w:noWrap/>
            <w:hideMark/>
          </w:tcPr>
          <w:p w:rsidR="00FA5B1C" w:rsidRPr="00FA5B1C" w:rsidRDefault="00FA5B1C" w:rsidP="00FA5B1C">
            <w:pPr>
              <w:autoSpaceDE/>
              <w:autoSpaceDN/>
              <w:adjustRightInd/>
              <w:spacing w:after="0" w:line="240" w:lineRule="auto"/>
              <w:jc w:val="center"/>
              <w:cnfStyle w:val="000000100000"/>
              <w:rPr>
                <w:rFonts w:eastAsia="Times New Roman"/>
                <w:b/>
                <w:lang w:eastAsia="fr-FR"/>
              </w:rPr>
            </w:pPr>
            <w:r w:rsidRPr="00FA5B1C">
              <w:rPr>
                <w:rFonts w:eastAsia="Times New Roman"/>
                <w:b/>
                <w:lang w:eastAsia="fr-FR"/>
              </w:rPr>
              <w:t>34 868,97</w:t>
            </w:r>
          </w:p>
        </w:tc>
        <w:tc>
          <w:tcPr>
            <w:tcW w:w="1106" w:type="dxa"/>
            <w:noWrap/>
            <w:hideMark/>
          </w:tcPr>
          <w:p w:rsidR="00FA5B1C" w:rsidRPr="00FA5B1C" w:rsidRDefault="00FA5B1C" w:rsidP="00FA5B1C">
            <w:pPr>
              <w:autoSpaceDE/>
              <w:autoSpaceDN/>
              <w:adjustRightInd/>
              <w:spacing w:after="0" w:line="240" w:lineRule="auto"/>
              <w:jc w:val="center"/>
              <w:cnfStyle w:val="000000100000"/>
              <w:rPr>
                <w:rFonts w:eastAsia="Times New Roman"/>
                <w:b/>
                <w:lang w:eastAsia="fr-FR"/>
              </w:rPr>
            </w:pPr>
            <w:r w:rsidRPr="00FA5B1C">
              <w:rPr>
                <w:rFonts w:eastAsia="Times New Roman"/>
                <w:b/>
                <w:lang w:eastAsia="fr-FR"/>
              </w:rPr>
              <w:t>100,00</w:t>
            </w:r>
          </w:p>
        </w:tc>
      </w:tr>
    </w:tbl>
    <w:p w:rsidR="003C432E" w:rsidRDefault="003C432E" w:rsidP="00587784">
      <w:pPr>
        <w:spacing w:line="312" w:lineRule="auto"/>
        <w:rPr>
          <w:lang w:eastAsia="en-US"/>
        </w:rPr>
      </w:pPr>
    </w:p>
    <w:p w:rsidR="004F2804" w:rsidRDefault="003C432E" w:rsidP="00587784">
      <w:pPr>
        <w:spacing w:line="312" w:lineRule="auto"/>
        <w:rPr>
          <w:lang w:eastAsia="fr-FR"/>
        </w:rPr>
      </w:pPr>
      <w:r>
        <w:rPr>
          <w:lang w:eastAsia="en-US"/>
        </w:rPr>
        <w:t xml:space="preserve">Les dépenses de santé de la reproduction au Mali sont estimées à 34,868 milliards de  FCFA soit  8,67%  des dépenses courantes de santé. La plus grosse part de ces dépenses est orientée vers les affections  périnatales  avec 39,06% suivies des affections maternelles avec 29,13% et de la prise en charge d’une contraception avec </w:t>
      </w:r>
      <w:r>
        <w:rPr>
          <w:lang w:eastAsia="fr-FR"/>
        </w:rPr>
        <w:t>29,02%</w:t>
      </w:r>
      <w:r>
        <w:rPr>
          <w:lang w:eastAsia="en-US"/>
        </w:rPr>
        <w:t>.</w:t>
      </w:r>
      <w:r w:rsidR="004F2804">
        <w:rPr>
          <w:lang w:eastAsia="fr-FR"/>
        </w:rPr>
        <w:tab/>
      </w:r>
    </w:p>
    <w:p w:rsidR="004F2804" w:rsidRDefault="004F2804" w:rsidP="00587784">
      <w:pPr>
        <w:autoSpaceDE/>
        <w:autoSpaceDN/>
        <w:adjustRightInd/>
        <w:spacing w:after="200" w:line="312" w:lineRule="auto"/>
        <w:jc w:val="left"/>
        <w:rPr>
          <w:lang w:eastAsia="fr-FR"/>
        </w:rPr>
      </w:pPr>
      <w:r>
        <w:rPr>
          <w:lang w:eastAsia="fr-FR"/>
        </w:rPr>
        <w:br w:type="page"/>
      </w:r>
    </w:p>
    <w:p w:rsidR="00D620FA" w:rsidRPr="0095704D" w:rsidRDefault="0095704D" w:rsidP="0095704D">
      <w:pPr>
        <w:pStyle w:val="Titre1"/>
        <w:ind w:left="720"/>
      </w:pPr>
      <w:bookmarkStart w:id="104" w:name="_Toc413941279"/>
      <w:r w:rsidRPr="0095704D">
        <w:t>Conclusion</w:t>
      </w:r>
      <w:bookmarkEnd w:id="104"/>
    </w:p>
    <w:p w:rsidR="003C432E" w:rsidRDefault="003C432E" w:rsidP="003C432E">
      <w:pPr>
        <w:spacing w:line="312" w:lineRule="auto"/>
      </w:pPr>
      <w:r>
        <w:t>L’essentiel du financement du système de santé du Mali provient des fonds nationaux, soit 7</w:t>
      </w:r>
      <w:r w:rsidR="00351D9B">
        <w:t>3</w:t>
      </w:r>
      <w:r>
        <w:t>,</w:t>
      </w:r>
      <w:r w:rsidR="00351D9B">
        <w:t>14</w:t>
      </w:r>
      <w:r>
        <w:t>% des dépenses courantes de santé contre 2</w:t>
      </w:r>
      <w:r w:rsidR="00351D9B">
        <w:t>6</w:t>
      </w:r>
      <w:r>
        <w:t>,</w:t>
      </w:r>
      <w:r w:rsidR="00351D9B">
        <w:t>86</w:t>
      </w:r>
      <w:r>
        <w:t xml:space="preserve"> % pour les fonds étrangers. Ce qui représente une situation rassurante quant à l’indépendance du financement de la santé vis-à-vis de l’extérieur. Cependant, près de la moitié de ces dépenses courantes de santé en 2014, soit 47,</w:t>
      </w:r>
      <w:r w:rsidR="00351D9B">
        <w:t>10</w:t>
      </w:r>
      <w:r>
        <w:t xml:space="preserve"> % est supportée par les ménages et dont la quasi-totalité est effectuée par paiement direct. Cette situation n’est pas reluisante surtout à une période où tous les pays aspirent à la couverture maladie universelle. </w:t>
      </w:r>
    </w:p>
    <w:p w:rsidR="00E0483D" w:rsidRDefault="003C432E" w:rsidP="00587784">
      <w:pPr>
        <w:spacing w:line="312" w:lineRule="auto"/>
      </w:pPr>
      <w:r w:rsidRPr="00DB74C9">
        <w:t>La contribution de l’Assurance Maladie Obligatoire (AMO) au financement de la santé en 201</w:t>
      </w:r>
      <w:r>
        <w:t>4</w:t>
      </w:r>
      <w:r w:rsidRPr="00DB74C9">
        <w:t xml:space="preserve"> n’est que de </w:t>
      </w:r>
      <w:r>
        <w:t>3,0</w:t>
      </w:r>
      <w:r w:rsidR="00351D9B">
        <w:t>5</w:t>
      </w:r>
      <w:r w:rsidRPr="00DB74C9">
        <w:t xml:space="preserve"> % des dépenses courantes de santé et 2,01 % des fonds nationaux, ce qui dénote de sa grande faiblesse. En effet, l’AMO ne concerne qu’une petite frange de la population, à savoir les </w:t>
      </w:r>
      <w:r>
        <w:t>salariés de l’Eta</w:t>
      </w:r>
      <w:r w:rsidRPr="00DB74C9">
        <w:t>t</w:t>
      </w:r>
      <w:r>
        <w:t xml:space="preserve"> et des collectivités</w:t>
      </w:r>
      <w:r w:rsidRPr="00DB74C9">
        <w:t xml:space="preserve">, les salariés </w:t>
      </w:r>
      <w:r>
        <w:t>contractuels du public et du privé</w:t>
      </w:r>
      <w:r w:rsidRPr="00DB74C9">
        <w:t xml:space="preserve"> et les retraités. A présent</w:t>
      </w:r>
      <w:r w:rsidRPr="00686D75">
        <w:t>, elle n’a pas entièrement couvert cette cible</w:t>
      </w:r>
      <w:r>
        <w:t>.</w:t>
      </w:r>
    </w:p>
    <w:p w:rsidR="00144DC9" w:rsidRDefault="00144DC9" w:rsidP="00587784">
      <w:pPr>
        <w:spacing w:line="312" w:lineRule="auto"/>
      </w:pPr>
      <w:r>
        <w:t>Les</w:t>
      </w:r>
      <w:r w:rsidR="00E44541">
        <w:t xml:space="preserve"> </w:t>
      </w:r>
      <w:r>
        <w:t xml:space="preserve"> produits pharmaceutiques</w:t>
      </w:r>
      <w:r w:rsidR="00E44541">
        <w:t xml:space="preserve"> </w:t>
      </w:r>
      <w:r>
        <w:t xml:space="preserve"> occupent </w:t>
      </w:r>
      <w:r w:rsidR="00E44541">
        <w:t xml:space="preserve"> 57</w:t>
      </w:r>
      <w:r>
        <w:t>,</w:t>
      </w:r>
      <w:r w:rsidR="00E44541">
        <w:t>21</w:t>
      </w:r>
      <w:r w:rsidR="00D620FA">
        <w:t xml:space="preserve"> % des dé</w:t>
      </w:r>
      <w:r w:rsidR="00AE4DB2">
        <w:t>pen</w:t>
      </w:r>
      <w:r>
        <w:t xml:space="preserve">ses courantes de santé. </w:t>
      </w:r>
      <w:r w:rsidR="00D620FA">
        <w:t>C’est dire que les médicaments constitue</w:t>
      </w:r>
      <w:r>
        <w:t>nt</w:t>
      </w:r>
      <w:r w:rsidR="00D620FA">
        <w:t xml:space="preserve"> toujours un problème préoccupant.</w:t>
      </w:r>
      <w:r>
        <w:t> </w:t>
      </w:r>
    </w:p>
    <w:p w:rsidR="00D620FA" w:rsidRDefault="00D620FA" w:rsidP="00587784">
      <w:pPr>
        <w:spacing w:line="312" w:lineRule="auto"/>
      </w:pPr>
      <w:r>
        <w:t>L</w:t>
      </w:r>
      <w:r w:rsidRPr="00BE280F">
        <w:t xml:space="preserve">es prestataires de soins hospitaliers ont consacré 99,54 % de leurs dépenses à la production de soins curatifs contre 0,38 % pour les soins préventifs. Ce qui est tout à fait normal car la prévention revient surtout aux prestataires de soins </w:t>
      </w:r>
      <w:r>
        <w:t>préventifs, c'est-à-dire les programmes et les ONG qui ont consacré 69,18 % de leurs dépenses aux soins préventifs.</w:t>
      </w:r>
      <w:r w:rsidRPr="00BE280F">
        <w:t xml:space="preserve"> La part des dépenses des </w:t>
      </w:r>
      <w:r w:rsidR="003A2744">
        <w:t>hôpitaux consacrée</w:t>
      </w:r>
      <w:r w:rsidRPr="00BE280F">
        <w:t xml:space="preserve"> à la prévention (0,38 %) provient des </w:t>
      </w:r>
      <w:r w:rsidR="00FA14FE" w:rsidRPr="00BE280F">
        <w:t>CS Réf</w:t>
      </w:r>
      <w:r w:rsidRPr="00BE280F">
        <w:t>.</w:t>
      </w:r>
    </w:p>
    <w:p w:rsidR="00D620FA" w:rsidRPr="00FA14FE" w:rsidRDefault="00D620FA" w:rsidP="00587784">
      <w:pPr>
        <w:spacing w:line="312" w:lineRule="auto"/>
        <w:rPr>
          <w:color w:val="auto"/>
        </w:rPr>
      </w:pPr>
      <w:r>
        <w:t>L’essentiel du financement de la lutte contre le palu</w:t>
      </w:r>
      <w:r w:rsidR="009A5A72">
        <w:t xml:space="preserve">disme et la tuberculose en 2014 </w:t>
      </w:r>
      <w:r>
        <w:t xml:space="preserve">a été supporté par les fonds nationaux, soit respectivement </w:t>
      </w:r>
      <w:r w:rsidR="009C5606">
        <w:t xml:space="preserve">59,86 %. </w:t>
      </w:r>
      <w:r w:rsidR="00EA556C">
        <w:t>7</w:t>
      </w:r>
      <w:r w:rsidR="009C5606">
        <w:t>7</w:t>
      </w:r>
      <w:r>
        <w:t>,</w:t>
      </w:r>
      <w:r w:rsidR="009C5606">
        <w:t>44</w:t>
      </w:r>
      <w:r w:rsidR="002C21D2">
        <w:t xml:space="preserve">% </w:t>
      </w:r>
      <w:r>
        <w:t xml:space="preserve">et </w:t>
      </w:r>
      <w:r w:rsidR="002C21D2">
        <w:t>Cet</w:t>
      </w:r>
      <w:r>
        <w:t xml:space="preserve"> effort de la part de l’Etat est à saluer et  </w:t>
      </w:r>
      <w:r w:rsidR="002C21D2">
        <w:t>serait dû</w:t>
      </w:r>
      <w:r w:rsidR="00FA14FE">
        <w:t xml:space="preserve"> d’</w:t>
      </w:r>
      <w:r w:rsidR="00922611">
        <w:t xml:space="preserve">une part, à la </w:t>
      </w:r>
      <w:r w:rsidRPr="00FA14FE">
        <w:rPr>
          <w:color w:val="auto"/>
        </w:rPr>
        <w:t>suspension de l’appui du principal partenaire dans la lutte contre ces maladies</w:t>
      </w:r>
      <w:r w:rsidR="00922611" w:rsidRPr="00FA14FE">
        <w:rPr>
          <w:color w:val="auto"/>
        </w:rPr>
        <w:t xml:space="preserve"> et d’autre part à  l’engagement du gouvernement dans la lutte contre le paludisme et la tuberculose qui a été matérialisé par l’instauration des gratuités de soins dans </w:t>
      </w:r>
      <w:r w:rsidR="005D10AC" w:rsidRPr="00FA14FE">
        <w:rPr>
          <w:color w:val="auto"/>
        </w:rPr>
        <w:t xml:space="preserve">le cadre de </w:t>
      </w:r>
      <w:r w:rsidR="00922611" w:rsidRPr="00FA14FE">
        <w:rPr>
          <w:color w:val="auto"/>
        </w:rPr>
        <w:t>la prise en charge des patients atteints de la Tuberculose</w:t>
      </w:r>
      <w:r w:rsidR="005D10AC" w:rsidRPr="00FA14FE">
        <w:rPr>
          <w:color w:val="auto"/>
        </w:rPr>
        <w:t xml:space="preserve">. Aussi, par la mise en place des gratuités au profit de certaines cibles notamment les enfants de moins de cinq ans et les femmes enceintes dans le cadre du traitement du paludisme. </w:t>
      </w:r>
    </w:p>
    <w:p w:rsidR="00D620FA" w:rsidRDefault="00D620FA" w:rsidP="00587784">
      <w:pPr>
        <w:spacing w:line="312" w:lineRule="auto"/>
      </w:pPr>
      <w:r w:rsidRPr="00EA2FD3">
        <w:t xml:space="preserve">Contrairement au paludisme et à la tuberculose, </w:t>
      </w:r>
      <w:r>
        <w:t>plus des ¾ d</w:t>
      </w:r>
      <w:r w:rsidRPr="00EA2FD3">
        <w:t>es dépenses consacrée</w:t>
      </w:r>
      <w:r w:rsidR="004D51A8">
        <w:t>s</w:t>
      </w:r>
      <w:r w:rsidRPr="00EA2FD3">
        <w:t xml:space="preserve"> à la lutte contre le VIH et </w:t>
      </w:r>
      <w:r w:rsidR="004D51A8">
        <w:t xml:space="preserve">le </w:t>
      </w:r>
      <w:r w:rsidRPr="00EA2FD3">
        <w:t>SIDA</w:t>
      </w:r>
      <w:r w:rsidR="004D51A8">
        <w:t xml:space="preserve"> sont supportés</w:t>
      </w:r>
      <w:r w:rsidRPr="00EA2FD3">
        <w:t xml:space="preserve"> par les fonds extérieurs, soit 7</w:t>
      </w:r>
      <w:r w:rsidR="009C5606">
        <w:t>9</w:t>
      </w:r>
      <w:r w:rsidRPr="00EA2FD3">
        <w:t>,</w:t>
      </w:r>
      <w:r w:rsidR="009C5606">
        <w:t>36</w:t>
      </w:r>
      <w:r w:rsidRPr="00EA2FD3">
        <w:t xml:space="preserve"> %</w:t>
      </w:r>
      <w:r>
        <w:t xml:space="preserve"> de l’ensemble</w:t>
      </w:r>
      <w:r w:rsidRPr="00EA2FD3">
        <w:t xml:space="preserve">. Ce qui rend la lutte contre le VIH et le SIDA très vulnérable. De ce financement, </w:t>
      </w:r>
      <w:r w:rsidR="009C5606">
        <w:t>26</w:t>
      </w:r>
      <w:r w:rsidRPr="00EA2FD3">
        <w:t>,</w:t>
      </w:r>
      <w:r w:rsidR="009C5606">
        <w:t>86</w:t>
      </w:r>
      <w:r w:rsidRPr="00EA2FD3">
        <w:t xml:space="preserve"> % échappent au contrôle de l’administration publique et passent directement dans le système.</w:t>
      </w:r>
      <w:r>
        <w:t xml:space="preserve"> L’Etat doit faire un effort non seulement pour augmenter la part des fonds nationaux, mais aussi pour convaincre ses partenaires à revoir leur part de financement qui échappe à son contrôle.</w:t>
      </w:r>
    </w:p>
    <w:p w:rsidR="0094299B" w:rsidRDefault="00D620FA" w:rsidP="00587784">
      <w:pPr>
        <w:spacing w:line="312" w:lineRule="auto"/>
      </w:pPr>
      <w:r w:rsidRPr="0089363B">
        <w:t xml:space="preserve">L’Etat affecte </w:t>
      </w:r>
      <w:r>
        <w:t xml:space="preserve">plus de </w:t>
      </w:r>
      <w:r w:rsidRPr="0089363B">
        <w:t>ressources par tête d’habitant au financement de la santé</w:t>
      </w:r>
      <w:r>
        <w:t xml:space="preserve"> dans la zone</w:t>
      </w:r>
      <w:r w:rsidR="00E70656">
        <w:rPr>
          <w:rStyle w:val="Appelnotedebasdep"/>
        </w:rPr>
        <w:footnoteReference w:id="4"/>
      </w:r>
      <w:r>
        <w:t xml:space="preserve"> riche</w:t>
      </w:r>
      <w:r w:rsidR="000F3F6E">
        <w:t xml:space="preserve"> (zone 3)</w:t>
      </w:r>
      <w:r>
        <w:t xml:space="preserve"> que dans la</w:t>
      </w:r>
      <w:r w:rsidR="00D93695">
        <w:t xml:space="preserve"> zone moyennement pauvre</w:t>
      </w:r>
      <w:r w:rsidR="000F3F6E">
        <w:t xml:space="preserve"> (zone </w:t>
      </w:r>
      <w:r w:rsidR="00D93695">
        <w:t>1</w:t>
      </w:r>
      <w:r w:rsidR="000F3F6E">
        <w:t>)</w:t>
      </w:r>
      <w:r w:rsidRPr="0089363B">
        <w:t xml:space="preserve">, soit </w:t>
      </w:r>
      <w:r w:rsidR="00D93695">
        <w:t xml:space="preserve">4242 </w:t>
      </w:r>
      <w:r w:rsidRPr="0089363B">
        <w:t xml:space="preserve"> F CFA contre </w:t>
      </w:r>
      <w:r w:rsidR="00D93695">
        <w:t>2085</w:t>
      </w:r>
      <w:r w:rsidRPr="0089363B">
        <w:t xml:space="preserve"> F CFA</w:t>
      </w:r>
      <w:r w:rsidR="00D93695">
        <w:t>.</w:t>
      </w:r>
      <w:r w:rsidR="00C17DBF">
        <w:t xml:space="preserve"> </w:t>
      </w:r>
      <w:r w:rsidR="00D93695">
        <w:t>L</w:t>
      </w:r>
      <w:r w:rsidRPr="0089363B">
        <w:t xml:space="preserve">a zone moyennement riche </w:t>
      </w:r>
      <w:r w:rsidR="00D93695">
        <w:t>a été le moins financ</w:t>
      </w:r>
      <w:r w:rsidR="00C17DBF">
        <w:t>é avec 1076 FCFA.</w:t>
      </w:r>
      <w:r>
        <w:t xml:space="preserve"> </w:t>
      </w:r>
    </w:p>
    <w:p w:rsidR="00D620FA" w:rsidRDefault="00D620FA" w:rsidP="00587784">
      <w:pPr>
        <w:spacing w:line="312" w:lineRule="auto"/>
      </w:pPr>
      <w:r>
        <w:t xml:space="preserve">La répartition des fonds consacrés à la santé de la reproduction par région et par femme en âge de procréer montre que Bamako bénéficie d’une dépense par femme en âge de procréer deux fois plus importante que la moyenne pour l’ensemble du pays, soit </w:t>
      </w:r>
      <w:r w:rsidR="007D24DF" w:rsidRPr="007347EB">
        <w:rPr>
          <w:color w:val="auto"/>
          <w:lang w:eastAsia="en-US"/>
        </w:rPr>
        <w:t xml:space="preserve">13234 </w:t>
      </w:r>
      <w:r>
        <w:t xml:space="preserve">F CFA contre </w:t>
      </w:r>
      <w:r w:rsidR="007D24DF" w:rsidRPr="007347EB">
        <w:rPr>
          <w:color w:val="auto"/>
          <w:lang w:eastAsia="en-US"/>
        </w:rPr>
        <w:t xml:space="preserve">7652 </w:t>
      </w:r>
      <w:r w:rsidR="007D24DF">
        <w:t>F</w:t>
      </w:r>
      <w:r>
        <w:t>CFA. Les aut</w:t>
      </w:r>
      <w:r w:rsidR="007D24DF">
        <w:t>res régions tournent autour de 5</w:t>
      </w:r>
      <w:r>
        <w:t> 000 F CFA par femme en âge de procréer. Ce qui dénote de</w:t>
      </w:r>
      <w:r w:rsidR="005807CD">
        <w:t xml:space="preserve"> l’iniquité dans l’allocation</w:t>
      </w:r>
      <w:r>
        <w:t xml:space="preserve"> du financement </w:t>
      </w:r>
      <w:r w:rsidR="005807CD">
        <w:t>de la santé de la reproduction.</w:t>
      </w:r>
    </w:p>
    <w:p w:rsidR="007D24DF" w:rsidRDefault="007D24DF">
      <w:pPr>
        <w:autoSpaceDE/>
        <w:autoSpaceDN/>
        <w:adjustRightInd/>
        <w:spacing w:after="200" w:line="276" w:lineRule="auto"/>
        <w:jc w:val="left"/>
        <w:rPr>
          <w:b/>
        </w:rPr>
      </w:pPr>
    </w:p>
    <w:p w:rsidR="0095704D" w:rsidRDefault="0095704D">
      <w:pPr>
        <w:autoSpaceDE/>
        <w:autoSpaceDN/>
        <w:adjustRightInd/>
        <w:spacing w:after="200" w:line="276" w:lineRule="auto"/>
        <w:jc w:val="left"/>
        <w:rPr>
          <w:b/>
        </w:rPr>
      </w:pPr>
      <w:r>
        <w:rPr>
          <w:b/>
        </w:rPr>
        <w:br w:type="page"/>
      </w:r>
    </w:p>
    <w:p w:rsidR="006E109B" w:rsidRDefault="0095704D" w:rsidP="0095704D">
      <w:pPr>
        <w:pStyle w:val="Titre1"/>
        <w:ind w:left="720"/>
      </w:pPr>
      <w:bookmarkStart w:id="105" w:name="_Toc413941280"/>
      <w:r w:rsidRPr="004F2804">
        <w:t>Recommandations</w:t>
      </w:r>
      <w:bookmarkEnd w:id="105"/>
    </w:p>
    <w:p w:rsidR="006E109B" w:rsidRPr="004F2804" w:rsidRDefault="004821CE" w:rsidP="00587784">
      <w:pPr>
        <w:spacing w:line="312" w:lineRule="auto"/>
        <w:rPr>
          <w:b/>
        </w:rPr>
      </w:pPr>
      <w:r>
        <w:rPr>
          <w:b/>
        </w:rPr>
        <w:t>A l’endroit de</w:t>
      </w:r>
      <w:r w:rsidR="006E109B">
        <w:rPr>
          <w:b/>
        </w:rPr>
        <w:t xml:space="preserve"> l’Etat :</w:t>
      </w:r>
    </w:p>
    <w:p w:rsidR="00E0483D" w:rsidRDefault="006E109B" w:rsidP="00C326AA">
      <w:pPr>
        <w:pStyle w:val="Paragraphedeliste"/>
        <w:numPr>
          <w:ilvl w:val="0"/>
          <w:numId w:val="20"/>
        </w:numPr>
        <w:spacing w:line="312" w:lineRule="auto"/>
        <w:ind w:left="426"/>
      </w:pPr>
      <w:r>
        <w:t>Poursuivre la mise en œuvre de l’AMO afin de réduire le paiement direct des ménages</w:t>
      </w:r>
      <w:r w:rsidR="00E0483D" w:rsidRPr="00686D75">
        <w:t>.</w:t>
      </w:r>
    </w:p>
    <w:p w:rsidR="004821CE" w:rsidRDefault="004821CE" w:rsidP="00C326AA">
      <w:pPr>
        <w:pStyle w:val="Paragraphedeliste"/>
        <w:numPr>
          <w:ilvl w:val="0"/>
          <w:numId w:val="20"/>
        </w:numPr>
        <w:spacing w:line="312" w:lineRule="auto"/>
        <w:ind w:left="426"/>
      </w:pPr>
      <w:r>
        <w:t>Augmenter la part du budget alloué au VIH et au SIDA dans le budget global.</w:t>
      </w:r>
    </w:p>
    <w:p w:rsidR="00B434EC" w:rsidRDefault="00B434EC" w:rsidP="00C326AA">
      <w:pPr>
        <w:pStyle w:val="Paragraphedeliste"/>
        <w:numPr>
          <w:ilvl w:val="0"/>
          <w:numId w:val="20"/>
        </w:numPr>
        <w:spacing w:line="312" w:lineRule="auto"/>
        <w:ind w:left="426"/>
      </w:pPr>
      <w:r w:rsidRPr="00670E74">
        <w:t>Augmenter le budget alloué à la santé  conformément aux engagements interna</w:t>
      </w:r>
      <w:r>
        <w:t>tionaux (15% du budget d’Etat).</w:t>
      </w:r>
    </w:p>
    <w:p w:rsidR="004821CE" w:rsidRPr="004821CE" w:rsidRDefault="004821CE" w:rsidP="00587784">
      <w:pPr>
        <w:spacing w:line="312" w:lineRule="auto"/>
        <w:rPr>
          <w:b/>
        </w:rPr>
      </w:pPr>
      <w:r>
        <w:rPr>
          <w:b/>
        </w:rPr>
        <w:t xml:space="preserve">A l’endroit du </w:t>
      </w:r>
      <w:r w:rsidRPr="004821CE">
        <w:rPr>
          <w:b/>
        </w:rPr>
        <w:t>Ministère de la santé et de l’hygiène publique :</w:t>
      </w:r>
    </w:p>
    <w:p w:rsidR="006025AA" w:rsidRDefault="00E43F8E" w:rsidP="00C326AA">
      <w:pPr>
        <w:pStyle w:val="Paragraphedeliste"/>
        <w:numPr>
          <w:ilvl w:val="0"/>
          <w:numId w:val="20"/>
        </w:numPr>
        <w:spacing w:line="312" w:lineRule="auto"/>
        <w:ind w:left="426"/>
      </w:pPr>
      <w:r>
        <w:t>Inviter</w:t>
      </w:r>
      <w:r w:rsidR="007D71A3">
        <w:t xml:space="preserve"> les partenaires</w:t>
      </w:r>
      <w:r w:rsidR="00E70656">
        <w:t xml:space="preserve"> à </w:t>
      </w:r>
      <w:r w:rsidR="00A7167F">
        <w:t xml:space="preserve">privilégier </w:t>
      </w:r>
      <w:r w:rsidR="006025AA">
        <w:t>le financement de la santé à travers le Ministère de la santé et de l’hygiène publique dans le souci du respect de l’esprit du PRODESS ;</w:t>
      </w:r>
    </w:p>
    <w:p w:rsidR="000F3F6E" w:rsidRDefault="00B434EC" w:rsidP="00C326AA">
      <w:pPr>
        <w:pStyle w:val="Paragraphedeliste"/>
        <w:numPr>
          <w:ilvl w:val="0"/>
          <w:numId w:val="20"/>
        </w:numPr>
        <w:spacing w:line="312" w:lineRule="auto"/>
        <w:ind w:left="426"/>
      </w:pPr>
      <w:r>
        <w:t>Revoir la politique d’allocation des</w:t>
      </w:r>
      <w:r w:rsidR="007D24DF">
        <w:t xml:space="preserve"> </w:t>
      </w:r>
      <w:r w:rsidR="000F3F6E" w:rsidRPr="0089363B">
        <w:t>ressources</w:t>
      </w:r>
      <w:r w:rsidR="004C7369">
        <w:t xml:space="preserve"> </w:t>
      </w:r>
      <w:r>
        <w:t>publiques</w:t>
      </w:r>
      <w:r w:rsidR="004C7369">
        <w:t xml:space="preserve"> </w:t>
      </w:r>
      <w:r w:rsidR="000F3F6E">
        <w:t>en fonction des zones de pauvreté.</w:t>
      </w:r>
    </w:p>
    <w:p w:rsidR="00E43F8E" w:rsidRDefault="00E43F8E" w:rsidP="00C326AA">
      <w:pPr>
        <w:pStyle w:val="Paragraphedeliste"/>
        <w:numPr>
          <w:ilvl w:val="0"/>
          <w:numId w:val="20"/>
        </w:numPr>
        <w:spacing w:line="312" w:lineRule="auto"/>
        <w:ind w:left="426"/>
      </w:pPr>
      <w:r>
        <w:t>Développer le partenariat public et privé</w:t>
      </w:r>
      <w:r w:rsidR="00B434EC">
        <w:t>.</w:t>
      </w:r>
    </w:p>
    <w:p w:rsidR="004F2804" w:rsidRPr="00670E74" w:rsidRDefault="0094299B" w:rsidP="00C326AA">
      <w:pPr>
        <w:pStyle w:val="Paragraphedeliste"/>
        <w:numPr>
          <w:ilvl w:val="0"/>
          <w:numId w:val="20"/>
        </w:numPr>
        <w:spacing w:line="312" w:lineRule="auto"/>
        <w:ind w:left="426"/>
      </w:pPr>
      <w:r>
        <w:t>Poursuivre les</w:t>
      </w:r>
      <w:r w:rsidR="004F2804" w:rsidRPr="00670E74">
        <w:t xml:space="preserve"> différentes gratuités particulièrement </w:t>
      </w:r>
      <w:r w:rsidR="00B434EC">
        <w:t>le traitement du paludisme chez les</w:t>
      </w:r>
      <w:r w:rsidR="004F2804" w:rsidRPr="00670E74">
        <w:t xml:space="preserve"> enfants de moins de cinq ans </w:t>
      </w:r>
      <w:r w:rsidR="00B434EC">
        <w:t>et les femmes enceintes.</w:t>
      </w:r>
    </w:p>
    <w:p w:rsidR="004F2804" w:rsidRDefault="004F2804" w:rsidP="00C326AA">
      <w:pPr>
        <w:pStyle w:val="Paragraphedeliste"/>
        <w:numPr>
          <w:ilvl w:val="0"/>
          <w:numId w:val="20"/>
        </w:numPr>
        <w:spacing w:line="312" w:lineRule="auto"/>
        <w:ind w:left="426"/>
      </w:pPr>
      <w:r>
        <w:t xml:space="preserve">Renforcer les mécanismes assuranciels existant de financement de la santé et développer d’autres </w:t>
      </w:r>
      <w:r w:rsidR="00756BB8">
        <w:t>mécanismes alternatifs</w:t>
      </w:r>
      <w:r>
        <w:t xml:space="preserve"> dans le cad</w:t>
      </w:r>
      <w:r w:rsidR="00E43F8E">
        <w:t>re de la couverture universelle.</w:t>
      </w:r>
    </w:p>
    <w:p w:rsidR="00E43F8E" w:rsidRDefault="00E43F8E" w:rsidP="00587784">
      <w:pPr>
        <w:spacing w:line="312" w:lineRule="auto"/>
      </w:pPr>
      <w:r>
        <w:t>A l’endroit des PTF</w:t>
      </w:r>
    </w:p>
    <w:p w:rsidR="00E43F8E" w:rsidRDefault="00E43F8E" w:rsidP="00C326AA">
      <w:pPr>
        <w:pStyle w:val="Paragraphedeliste"/>
        <w:numPr>
          <w:ilvl w:val="0"/>
          <w:numId w:val="21"/>
        </w:numPr>
        <w:spacing w:line="312" w:lineRule="auto"/>
        <w:ind w:left="426"/>
      </w:pPr>
      <w:r>
        <w:t>Poursuivre l’appui à l’élaboration annuelle des comptes de la santé ;</w:t>
      </w:r>
    </w:p>
    <w:p w:rsidR="00E43F8E" w:rsidRDefault="00E43F8E" w:rsidP="00C326AA">
      <w:pPr>
        <w:pStyle w:val="Paragraphedeliste"/>
        <w:numPr>
          <w:ilvl w:val="0"/>
          <w:numId w:val="21"/>
        </w:numPr>
        <w:spacing w:line="312" w:lineRule="auto"/>
        <w:ind w:left="426"/>
      </w:pPr>
      <w:r>
        <w:t>Mettre régulièrement à la disposition de l’équipe les données financières nécessaire</w:t>
      </w:r>
      <w:r w:rsidR="00662EE2">
        <w:t>s à l’élaboration des comptes.</w:t>
      </w:r>
    </w:p>
    <w:p w:rsidR="00662EE2" w:rsidRPr="00CE3004" w:rsidRDefault="00662EE2" w:rsidP="00662EE2">
      <w:pPr>
        <w:pStyle w:val="Paragraphedeliste"/>
        <w:spacing w:line="312" w:lineRule="auto"/>
        <w:ind w:left="426"/>
      </w:pPr>
    </w:p>
    <w:p w:rsidR="00662EE2" w:rsidRDefault="00662EE2">
      <w:pPr>
        <w:autoSpaceDE/>
        <w:autoSpaceDN/>
        <w:adjustRightInd/>
        <w:spacing w:after="200" w:line="276" w:lineRule="auto"/>
        <w:jc w:val="left"/>
        <w:sectPr w:rsidR="00662EE2" w:rsidSect="00933646">
          <w:pgSz w:w="12240" w:h="15840"/>
          <w:pgMar w:top="1417" w:right="1417" w:bottom="1417" w:left="1417" w:header="510" w:footer="0" w:gutter="0"/>
          <w:cols w:space="720"/>
          <w:docGrid w:linePitch="326"/>
        </w:sectPr>
      </w:pPr>
      <w:r>
        <w:br w:type="page"/>
      </w:r>
    </w:p>
    <w:p w:rsidR="00662EE2" w:rsidRDefault="00662EE2" w:rsidP="00662EE2">
      <w:pPr>
        <w:pStyle w:val="Titre1"/>
        <w:ind w:left="720"/>
      </w:pPr>
      <w:bookmarkStart w:id="106" w:name="_Toc413941281"/>
      <w:r>
        <w:t>Bibliographie</w:t>
      </w:r>
      <w:bookmarkEnd w:id="106"/>
    </w:p>
    <w:p w:rsidR="00C47A61" w:rsidRPr="00C47A61" w:rsidRDefault="00C47A61" w:rsidP="00C47A61">
      <w:pPr>
        <w:pStyle w:val="Paragraphedeliste"/>
        <w:numPr>
          <w:ilvl w:val="1"/>
          <w:numId w:val="9"/>
        </w:numPr>
        <w:tabs>
          <w:tab w:val="clear" w:pos="1440"/>
          <w:tab w:val="num" w:pos="1134"/>
        </w:tabs>
        <w:spacing w:after="0"/>
        <w:ind w:left="426"/>
        <w:rPr>
          <w:rFonts w:eastAsiaTheme="minorHAnsi"/>
          <w:bCs w:val="0"/>
          <w:color w:val="auto"/>
          <w:lang w:eastAsia="en-US"/>
        </w:rPr>
      </w:pPr>
      <w:r w:rsidRPr="00C47A61">
        <w:rPr>
          <w:rFonts w:eastAsiaTheme="minorHAnsi"/>
          <w:bCs w:val="0"/>
          <w:color w:val="auto"/>
          <w:lang w:eastAsia="en-US"/>
        </w:rPr>
        <w:t>Cellule de Planification et de Statistique (CPS/SSDSPF), 2014. Annuaire statistique 201</w:t>
      </w:r>
      <w:r w:rsidR="00B75E0B">
        <w:rPr>
          <w:rFonts w:eastAsiaTheme="minorHAnsi"/>
          <w:bCs w:val="0"/>
          <w:color w:val="auto"/>
          <w:lang w:eastAsia="en-US"/>
        </w:rPr>
        <w:t xml:space="preserve">4 </w:t>
      </w:r>
      <w:r w:rsidRPr="00C47A61">
        <w:rPr>
          <w:rFonts w:eastAsiaTheme="minorHAnsi"/>
          <w:bCs w:val="0"/>
          <w:color w:val="auto"/>
          <w:lang w:eastAsia="en-US"/>
        </w:rPr>
        <w:t>du Système d’Information Hospitalier (SIH), Bamako ;</w:t>
      </w:r>
    </w:p>
    <w:p w:rsidR="00C47A61" w:rsidRDefault="00C47A61" w:rsidP="00C47A61">
      <w:pPr>
        <w:pStyle w:val="Paragraphedeliste"/>
        <w:numPr>
          <w:ilvl w:val="1"/>
          <w:numId w:val="9"/>
        </w:numPr>
        <w:tabs>
          <w:tab w:val="clear" w:pos="1440"/>
        </w:tabs>
        <w:spacing w:after="0"/>
        <w:ind w:left="426"/>
        <w:rPr>
          <w:rFonts w:eastAsiaTheme="minorHAnsi"/>
          <w:bCs w:val="0"/>
          <w:color w:val="auto"/>
          <w:lang w:eastAsia="en-US"/>
        </w:rPr>
      </w:pPr>
      <w:r w:rsidRPr="008122CA">
        <w:rPr>
          <w:rFonts w:eastAsiaTheme="minorHAnsi"/>
          <w:bCs w:val="0"/>
          <w:color w:val="auto"/>
          <w:lang w:eastAsia="en-US"/>
        </w:rPr>
        <w:t>Cellule de Planification et de Statistique (CPS/SSDSPF), 2014. Annuaire statistique 201</w:t>
      </w:r>
      <w:r w:rsidR="00B75E0B">
        <w:rPr>
          <w:rFonts w:eastAsiaTheme="minorHAnsi"/>
          <w:bCs w:val="0"/>
          <w:color w:val="auto"/>
          <w:lang w:eastAsia="en-US"/>
        </w:rPr>
        <w:t>4</w:t>
      </w:r>
      <w:r w:rsidRPr="008122CA">
        <w:rPr>
          <w:rFonts w:eastAsiaTheme="minorHAnsi"/>
          <w:bCs w:val="0"/>
          <w:color w:val="auto"/>
          <w:lang w:eastAsia="en-US"/>
        </w:rPr>
        <w:t xml:space="preserve"> du Système d’Information Hospitalier (SIH), Bamako ;</w:t>
      </w:r>
    </w:p>
    <w:p w:rsidR="00C47A61" w:rsidRDefault="00C47A61" w:rsidP="00C47A61">
      <w:pPr>
        <w:pStyle w:val="Paragraphedeliste"/>
        <w:numPr>
          <w:ilvl w:val="1"/>
          <w:numId w:val="9"/>
        </w:numPr>
        <w:tabs>
          <w:tab w:val="clear" w:pos="1440"/>
        </w:tabs>
        <w:spacing w:after="0"/>
        <w:ind w:left="426"/>
        <w:rPr>
          <w:rFonts w:eastAsiaTheme="minorHAnsi"/>
          <w:bCs w:val="0"/>
          <w:color w:val="auto"/>
          <w:lang w:eastAsia="en-US"/>
        </w:rPr>
      </w:pPr>
      <w:r w:rsidRPr="008122CA">
        <w:rPr>
          <w:rFonts w:eastAsiaTheme="minorHAnsi"/>
          <w:bCs w:val="0"/>
          <w:color w:val="auto"/>
          <w:lang w:eastAsia="en-US"/>
        </w:rPr>
        <w:t>Cellule de Planification et de Statistique (CPS/SSDSPF), 2014. Annuaire statistique 201</w:t>
      </w:r>
      <w:r w:rsidR="00B75E0B">
        <w:rPr>
          <w:rFonts w:eastAsiaTheme="minorHAnsi"/>
          <w:bCs w:val="0"/>
          <w:color w:val="auto"/>
          <w:lang w:eastAsia="en-US"/>
        </w:rPr>
        <w:t>4</w:t>
      </w:r>
      <w:r w:rsidRPr="008122CA">
        <w:rPr>
          <w:rFonts w:eastAsiaTheme="minorHAnsi"/>
          <w:bCs w:val="0"/>
          <w:color w:val="auto"/>
          <w:lang w:eastAsia="en-US"/>
        </w:rPr>
        <w:t xml:space="preserve"> du Système d’Information Hospitalier (SIH), Bamako ;</w:t>
      </w:r>
    </w:p>
    <w:p w:rsidR="00C47A61" w:rsidRDefault="00C47A61" w:rsidP="00C47A61">
      <w:pPr>
        <w:pStyle w:val="Paragraphedeliste"/>
        <w:numPr>
          <w:ilvl w:val="1"/>
          <w:numId w:val="9"/>
        </w:numPr>
        <w:tabs>
          <w:tab w:val="clear" w:pos="1440"/>
        </w:tabs>
        <w:spacing w:after="0"/>
        <w:ind w:left="426"/>
        <w:rPr>
          <w:rFonts w:eastAsiaTheme="minorHAnsi"/>
          <w:bCs w:val="0"/>
          <w:color w:val="auto"/>
          <w:lang w:eastAsia="en-US"/>
        </w:rPr>
      </w:pPr>
      <w:r w:rsidRPr="008122CA">
        <w:rPr>
          <w:rFonts w:eastAsiaTheme="minorHAnsi"/>
          <w:bCs w:val="0"/>
          <w:color w:val="auto"/>
          <w:lang w:eastAsia="en-US"/>
        </w:rPr>
        <w:t xml:space="preserve">Cellule de Planification et de Statistique (CPS/SSDSPF), Institut National de la Statistique (INSTAT/MPATP), INFO-STAT et ICF International, 2014. </w:t>
      </w:r>
      <w:r w:rsidRPr="008122CA">
        <w:rPr>
          <w:rFonts w:eastAsiaTheme="minorHAnsi"/>
          <w:bCs w:val="0"/>
          <w:i/>
          <w:iCs/>
          <w:color w:val="auto"/>
          <w:lang w:eastAsia="en-US"/>
        </w:rPr>
        <w:t>Enquête Démographique et de Santé au Mali 2012-2013</w:t>
      </w:r>
      <w:r w:rsidRPr="008122CA">
        <w:rPr>
          <w:rFonts w:eastAsiaTheme="minorHAnsi"/>
          <w:bCs w:val="0"/>
          <w:color w:val="auto"/>
          <w:lang w:eastAsia="en-US"/>
        </w:rPr>
        <w:t>. Rockville, Maryland, USA : CPS, INSTAT, INFO-STAT et ICF International ;</w:t>
      </w:r>
    </w:p>
    <w:p w:rsidR="00C47A61" w:rsidRDefault="00C47A61" w:rsidP="00C47A61">
      <w:pPr>
        <w:pStyle w:val="Paragraphedeliste"/>
        <w:numPr>
          <w:ilvl w:val="1"/>
          <w:numId w:val="9"/>
        </w:numPr>
        <w:tabs>
          <w:tab w:val="clear" w:pos="1440"/>
        </w:tabs>
        <w:spacing w:after="0"/>
        <w:ind w:left="426"/>
        <w:rPr>
          <w:rFonts w:eastAsiaTheme="minorHAnsi"/>
          <w:bCs w:val="0"/>
          <w:color w:val="auto"/>
          <w:lang w:eastAsia="en-US"/>
        </w:rPr>
      </w:pPr>
      <w:r w:rsidRPr="008122CA">
        <w:rPr>
          <w:rFonts w:eastAsiaTheme="minorHAnsi"/>
          <w:bCs w:val="0"/>
          <w:color w:val="auto"/>
          <w:lang w:eastAsia="en-US"/>
        </w:rPr>
        <w:t>Cellule de Planification et de Statistique du Ministère de la Santé (CPS/MS), Direction Nationale de la Statistique et de l’Informatique du Ministère de l’Économie, de l’Industrie et du Commerce (DNSI/MEIC) et Macro International Inc. 2007. Enquête Démographique et de Santé du Mali 2006. Calverton, Maryland, USA : CPS/DNSI et Macro International Inc. ;</w:t>
      </w:r>
    </w:p>
    <w:p w:rsidR="00C47A61" w:rsidRDefault="00C47A61" w:rsidP="00C47A61">
      <w:pPr>
        <w:pStyle w:val="Paragraphedeliste"/>
        <w:numPr>
          <w:ilvl w:val="1"/>
          <w:numId w:val="9"/>
        </w:numPr>
        <w:tabs>
          <w:tab w:val="clear" w:pos="1440"/>
        </w:tabs>
        <w:spacing w:after="0"/>
        <w:ind w:left="426"/>
        <w:rPr>
          <w:rFonts w:eastAsiaTheme="minorHAnsi"/>
          <w:bCs w:val="0"/>
          <w:color w:val="auto"/>
          <w:lang w:eastAsia="en-US"/>
        </w:rPr>
      </w:pPr>
      <w:r w:rsidRPr="008122CA">
        <w:rPr>
          <w:rFonts w:eastAsiaTheme="minorHAnsi"/>
          <w:bCs w:val="0"/>
          <w:color w:val="auto"/>
          <w:lang w:eastAsia="en-US"/>
        </w:rPr>
        <w:t>Direction Nationale de la Santé (DNS), 2014. Annuaire statistique 2013 du Système Local d’Information Sanitaire (SLIS), Bamako ;</w:t>
      </w:r>
    </w:p>
    <w:p w:rsidR="00C47A61" w:rsidRDefault="00C47A61" w:rsidP="00C47A61">
      <w:pPr>
        <w:pStyle w:val="Paragraphedeliste"/>
        <w:numPr>
          <w:ilvl w:val="1"/>
          <w:numId w:val="9"/>
        </w:numPr>
        <w:tabs>
          <w:tab w:val="clear" w:pos="1440"/>
        </w:tabs>
        <w:spacing w:after="0"/>
        <w:ind w:left="426"/>
        <w:rPr>
          <w:rFonts w:eastAsiaTheme="minorHAnsi"/>
          <w:bCs w:val="0"/>
          <w:color w:val="auto"/>
          <w:lang w:eastAsia="en-US"/>
        </w:rPr>
      </w:pPr>
      <w:r w:rsidRPr="008122CA">
        <w:rPr>
          <w:rFonts w:eastAsiaTheme="minorHAnsi"/>
          <w:bCs w:val="0"/>
          <w:color w:val="auto"/>
          <w:lang w:eastAsia="en-US"/>
        </w:rPr>
        <w:t>Institut National de la Statistique (INSTAT/MPP) ; Indice harmonise des prix à la consommation (IHPC) pour les pays membres de l'UEMOA Bamako – décembre 2013 ;</w:t>
      </w:r>
    </w:p>
    <w:p w:rsidR="00C47A61" w:rsidRDefault="00C47A61" w:rsidP="00C47A61">
      <w:pPr>
        <w:pStyle w:val="Paragraphedeliste"/>
        <w:numPr>
          <w:ilvl w:val="1"/>
          <w:numId w:val="9"/>
        </w:numPr>
        <w:tabs>
          <w:tab w:val="clear" w:pos="1440"/>
        </w:tabs>
        <w:spacing w:after="0"/>
        <w:ind w:left="426"/>
        <w:rPr>
          <w:rFonts w:eastAsiaTheme="minorHAnsi"/>
          <w:bCs w:val="0"/>
          <w:color w:val="auto"/>
          <w:lang w:eastAsia="en-US"/>
        </w:rPr>
      </w:pPr>
      <w:r w:rsidRPr="008122CA">
        <w:rPr>
          <w:rFonts w:eastAsiaTheme="minorHAnsi"/>
          <w:bCs w:val="0"/>
          <w:color w:val="auto"/>
          <w:lang w:eastAsia="en-US"/>
        </w:rPr>
        <w:t>Institut National de la Statistique (INSTAT/MPP), 201</w:t>
      </w:r>
      <w:r w:rsidR="00B75E0B">
        <w:rPr>
          <w:rFonts w:eastAsiaTheme="minorHAnsi"/>
          <w:bCs w:val="0"/>
          <w:color w:val="auto"/>
          <w:lang w:eastAsia="en-US"/>
        </w:rPr>
        <w:t>4</w:t>
      </w:r>
      <w:r w:rsidRPr="008122CA">
        <w:rPr>
          <w:rFonts w:eastAsiaTheme="minorHAnsi"/>
          <w:bCs w:val="0"/>
          <w:color w:val="auto"/>
          <w:lang w:eastAsia="en-US"/>
        </w:rPr>
        <w:t>, Enquête modulaire et permanente auprès des ménages (EMOP), avril-juin 2013, Bamako ;</w:t>
      </w:r>
    </w:p>
    <w:p w:rsidR="00C47A61" w:rsidRDefault="00C47A61" w:rsidP="00C47A61">
      <w:pPr>
        <w:pStyle w:val="Paragraphedeliste"/>
        <w:numPr>
          <w:ilvl w:val="1"/>
          <w:numId w:val="9"/>
        </w:numPr>
        <w:tabs>
          <w:tab w:val="clear" w:pos="1440"/>
        </w:tabs>
        <w:spacing w:after="0"/>
        <w:ind w:left="426"/>
        <w:rPr>
          <w:rFonts w:eastAsiaTheme="minorHAnsi"/>
          <w:bCs w:val="0"/>
          <w:color w:val="auto"/>
          <w:lang w:eastAsia="en-US"/>
        </w:rPr>
      </w:pPr>
      <w:r w:rsidRPr="008122CA">
        <w:rPr>
          <w:rFonts w:eastAsiaTheme="minorHAnsi"/>
          <w:bCs w:val="0"/>
          <w:color w:val="auto"/>
          <w:lang w:eastAsia="en-US"/>
        </w:rPr>
        <w:t>Institut National de la Statistique (INSTAT/MPP), 2014, Enquête modulaire et permanente auprès des ménages (EMOP), juillet-septembre 201</w:t>
      </w:r>
      <w:r w:rsidR="00B75E0B">
        <w:rPr>
          <w:rFonts w:eastAsiaTheme="minorHAnsi"/>
          <w:bCs w:val="0"/>
          <w:color w:val="auto"/>
          <w:lang w:eastAsia="en-US"/>
        </w:rPr>
        <w:t>4</w:t>
      </w:r>
      <w:r w:rsidRPr="008122CA">
        <w:rPr>
          <w:rFonts w:eastAsiaTheme="minorHAnsi"/>
          <w:bCs w:val="0"/>
          <w:color w:val="auto"/>
          <w:lang w:eastAsia="en-US"/>
        </w:rPr>
        <w:t>, Bamako ;</w:t>
      </w:r>
    </w:p>
    <w:p w:rsidR="00C47A61" w:rsidRDefault="00C47A61" w:rsidP="00C47A61">
      <w:pPr>
        <w:pStyle w:val="Paragraphedeliste"/>
        <w:numPr>
          <w:ilvl w:val="1"/>
          <w:numId w:val="9"/>
        </w:numPr>
        <w:tabs>
          <w:tab w:val="clear" w:pos="1440"/>
        </w:tabs>
        <w:spacing w:after="0"/>
        <w:ind w:left="426"/>
        <w:rPr>
          <w:rFonts w:eastAsiaTheme="minorHAnsi"/>
          <w:bCs w:val="0"/>
          <w:color w:val="auto"/>
          <w:lang w:eastAsia="en-US"/>
        </w:rPr>
      </w:pPr>
      <w:r w:rsidRPr="008122CA">
        <w:rPr>
          <w:rFonts w:eastAsiaTheme="minorHAnsi"/>
          <w:bCs w:val="0"/>
          <w:color w:val="auto"/>
          <w:lang w:eastAsia="en-US"/>
        </w:rPr>
        <w:t>Institut National de la Statistique (INSTAT/MPP), 2014, Enquête modulaire et permanente auprès des ménages (EMOP), octobre-décembre 201</w:t>
      </w:r>
      <w:r w:rsidR="00B75E0B">
        <w:rPr>
          <w:rFonts w:eastAsiaTheme="minorHAnsi"/>
          <w:bCs w:val="0"/>
          <w:color w:val="auto"/>
          <w:lang w:eastAsia="en-US"/>
        </w:rPr>
        <w:t>4</w:t>
      </w:r>
      <w:r w:rsidRPr="008122CA">
        <w:rPr>
          <w:rFonts w:eastAsiaTheme="minorHAnsi"/>
          <w:bCs w:val="0"/>
          <w:color w:val="auto"/>
          <w:lang w:eastAsia="en-US"/>
        </w:rPr>
        <w:t>, Bamako ;</w:t>
      </w:r>
    </w:p>
    <w:p w:rsidR="00C47A61" w:rsidRPr="00D54D8C" w:rsidRDefault="00C47A61" w:rsidP="00C47A61">
      <w:pPr>
        <w:pStyle w:val="Paragraphedeliste"/>
        <w:numPr>
          <w:ilvl w:val="1"/>
          <w:numId w:val="9"/>
        </w:numPr>
        <w:tabs>
          <w:tab w:val="clear" w:pos="1440"/>
        </w:tabs>
        <w:spacing w:after="0"/>
        <w:ind w:left="426"/>
        <w:rPr>
          <w:rFonts w:eastAsiaTheme="minorHAnsi"/>
          <w:bCs w:val="0"/>
          <w:color w:val="auto"/>
          <w:lang w:eastAsia="en-US"/>
        </w:rPr>
      </w:pPr>
      <w:r w:rsidRPr="008122CA">
        <w:rPr>
          <w:rFonts w:eastAsiaTheme="minorHAnsi"/>
          <w:bCs w:val="0"/>
          <w:color w:val="auto"/>
          <w:lang w:eastAsia="en-US"/>
        </w:rPr>
        <w:t>Organisation Mondiale de la Santé (OMS), Système des Comptes de la Santé (SHA), 2011, version abrégée, juin 2012.</w:t>
      </w:r>
    </w:p>
    <w:p w:rsidR="00C869FC" w:rsidRDefault="00C869FC" w:rsidP="00C869FC">
      <w:pPr>
        <w:rPr>
          <w:lang w:eastAsia="en-US"/>
        </w:rPr>
      </w:pPr>
    </w:p>
    <w:p w:rsidR="00C869FC" w:rsidRDefault="00C869FC" w:rsidP="00C869FC">
      <w:pPr>
        <w:rPr>
          <w:lang w:eastAsia="en-US"/>
        </w:rPr>
      </w:pPr>
    </w:p>
    <w:p w:rsidR="00BA6894" w:rsidRDefault="00301FC1" w:rsidP="00301FC1">
      <w:pPr>
        <w:pStyle w:val="Titre1"/>
        <w:ind w:left="720" w:hanging="360"/>
      </w:pPr>
      <w:bookmarkStart w:id="107" w:name="_Toc413941282"/>
      <w:r>
        <w:t>E</w:t>
      </w:r>
      <w:r w:rsidR="00B21542">
        <w:t>quipe technique d’élaboration des comptes de la santé</w:t>
      </w:r>
      <w:bookmarkEnd w:id="107"/>
    </w:p>
    <w:tbl>
      <w:tblPr>
        <w:tblW w:w="5000" w:type="pct"/>
        <w:tblCellMar>
          <w:left w:w="70" w:type="dxa"/>
          <w:right w:w="70" w:type="dxa"/>
        </w:tblCellMar>
        <w:tblLook w:val="04A0"/>
      </w:tblPr>
      <w:tblGrid>
        <w:gridCol w:w="687"/>
        <w:gridCol w:w="1894"/>
        <w:gridCol w:w="2255"/>
        <w:gridCol w:w="1705"/>
        <w:gridCol w:w="3005"/>
      </w:tblGrid>
      <w:tr w:rsidR="00301FC1" w:rsidRPr="00301FC1" w:rsidTr="00E22357">
        <w:trPr>
          <w:trHeight w:val="229"/>
        </w:trPr>
        <w:tc>
          <w:tcPr>
            <w:tcW w:w="1352" w:type="pct"/>
            <w:gridSpan w:val="2"/>
            <w:shd w:val="clear" w:color="auto" w:fill="auto"/>
            <w:vAlign w:val="center"/>
            <w:hideMark/>
          </w:tcPr>
          <w:p w:rsidR="00301FC1" w:rsidRPr="00301FC1" w:rsidRDefault="00301FC1" w:rsidP="00B265B1">
            <w:pPr>
              <w:spacing w:after="0"/>
              <w:jc w:val="left"/>
              <w:rPr>
                <w:rFonts w:eastAsia="Times New Roman"/>
                <w:b/>
                <w:bCs w:val="0"/>
                <w:lang w:eastAsia="fr-FR"/>
              </w:rPr>
            </w:pPr>
            <w:r w:rsidRPr="00301FC1">
              <w:rPr>
                <w:rFonts w:eastAsia="Times New Roman"/>
                <w:b/>
                <w:sz w:val="22"/>
                <w:szCs w:val="22"/>
                <w:lang w:eastAsia="fr-FR"/>
              </w:rPr>
              <w:t>PRENOMS</w:t>
            </w:r>
          </w:p>
        </w:tc>
        <w:tc>
          <w:tcPr>
            <w:tcW w:w="1181" w:type="pct"/>
            <w:vAlign w:val="center"/>
          </w:tcPr>
          <w:p w:rsidR="00301FC1" w:rsidRPr="00301FC1" w:rsidRDefault="00301FC1" w:rsidP="00B265B1">
            <w:pPr>
              <w:spacing w:after="0"/>
              <w:jc w:val="left"/>
              <w:rPr>
                <w:rFonts w:eastAsia="Times New Roman"/>
                <w:b/>
                <w:bCs w:val="0"/>
                <w:lang w:eastAsia="fr-FR"/>
              </w:rPr>
            </w:pPr>
            <w:r w:rsidRPr="00301FC1">
              <w:rPr>
                <w:rFonts w:eastAsia="Times New Roman"/>
                <w:b/>
                <w:bCs w:val="0"/>
                <w:sz w:val="22"/>
                <w:szCs w:val="22"/>
                <w:lang w:eastAsia="fr-FR"/>
              </w:rPr>
              <w:t>Noms</w:t>
            </w:r>
          </w:p>
        </w:tc>
        <w:tc>
          <w:tcPr>
            <w:tcW w:w="893" w:type="pct"/>
            <w:shd w:val="clear" w:color="auto" w:fill="auto"/>
            <w:noWrap/>
            <w:vAlign w:val="center"/>
            <w:hideMark/>
          </w:tcPr>
          <w:p w:rsidR="00301FC1" w:rsidRPr="00301FC1" w:rsidRDefault="00301FC1" w:rsidP="00B265B1">
            <w:pPr>
              <w:spacing w:after="0"/>
              <w:jc w:val="left"/>
              <w:rPr>
                <w:rFonts w:eastAsia="Times New Roman"/>
                <w:b/>
                <w:bCs w:val="0"/>
                <w:lang w:eastAsia="fr-FR"/>
              </w:rPr>
            </w:pPr>
            <w:r w:rsidRPr="00301FC1">
              <w:rPr>
                <w:rFonts w:eastAsia="Times New Roman"/>
                <w:b/>
                <w:bCs w:val="0"/>
                <w:sz w:val="22"/>
                <w:szCs w:val="22"/>
                <w:lang w:eastAsia="fr-FR"/>
              </w:rPr>
              <w:t>Structure</w:t>
            </w:r>
          </w:p>
        </w:tc>
        <w:tc>
          <w:tcPr>
            <w:tcW w:w="1574" w:type="pct"/>
            <w:shd w:val="clear" w:color="auto" w:fill="auto"/>
            <w:vAlign w:val="center"/>
            <w:hideMark/>
          </w:tcPr>
          <w:p w:rsidR="00301FC1" w:rsidRPr="00301FC1" w:rsidRDefault="00301FC1" w:rsidP="00B265B1">
            <w:pPr>
              <w:spacing w:after="0"/>
              <w:jc w:val="left"/>
              <w:rPr>
                <w:rFonts w:eastAsia="Times New Roman"/>
                <w:b/>
                <w:bCs w:val="0"/>
                <w:lang w:eastAsia="fr-FR"/>
              </w:rPr>
            </w:pPr>
            <w:r w:rsidRPr="00301FC1">
              <w:rPr>
                <w:rFonts w:eastAsia="Times New Roman"/>
                <w:b/>
                <w:sz w:val="22"/>
                <w:szCs w:val="22"/>
                <w:lang w:eastAsia="fr-FR"/>
              </w:rPr>
              <w:t>E-mail</w:t>
            </w:r>
          </w:p>
        </w:tc>
      </w:tr>
      <w:tr w:rsidR="00301FC1" w:rsidRPr="00334333" w:rsidTr="00E22357">
        <w:trPr>
          <w:trHeight w:val="283"/>
        </w:trPr>
        <w:tc>
          <w:tcPr>
            <w:tcW w:w="360" w:type="pct"/>
            <w:shd w:val="clear" w:color="auto" w:fill="auto"/>
            <w:noWrap/>
            <w:vAlign w:val="center"/>
          </w:tcPr>
          <w:p w:rsidR="00301FC1" w:rsidRPr="00301FC1" w:rsidRDefault="00301FC1" w:rsidP="00B265B1">
            <w:pPr>
              <w:spacing w:after="0"/>
              <w:rPr>
                <w:rFonts w:eastAsia="Times New Roman"/>
                <w:color w:val="000000" w:themeColor="text1"/>
                <w:lang w:eastAsia="fr-FR"/>
              </w:rPr>
            </w:pPr>
            <w:r w:rsidRPr="00301FC1">
              <w:rPr>
                <w:rFonts w:eastAsia="Times New Roman"/>
                <w:color w:val="000000" w:themeColor="text1"/>
                <w:sz w:val="22"/>
                <w:szCs w:val="22"/>
                <w:lang w:eastAsia="fr-FR"/>
              </w:rPr>
              <w:t>Mme.</w:t>
            </w:r>
          </w:p>
        </w:tc>
        <w:tc>
          <w:tcPr>
            <w:tcW w:w="992" w:type="pct"/>
            <w:shd w:val="clear" w:color="auto" w:fill="auto"/>
            <w:noWrap/>
            <w:vAlign w:val="center"/>
          </w:tcPr>
          <w:p w:rsidR="00301FC1" w:rsidRPr="00301FC1" w:rsidRDefault="00301FC1" w:rsidP="00B265B1">
            <w:pPr>
              <w:spacing w:after="0"/>
              <w:rPr>
                <w:rFonts w:eastAsia="Times New Roman"/>
                <w:color w:val="000000" w:themeColor="text1"/>
                <w:lang w:eastAsia="fr-FR"/>
              </w:rPr>
            </w:pPr>
            <w:r w:rsidRPr="00301FC1">
              <w:rPr>
                <w:rFonts w:eastAsia="Times New Roman"/>
                <w:color w:val="000000" w:themeColor="text1"/>
                <w:sz w:val="22"/>
                <w:szCs w:val="22"/>
                <w:lang w:eastAsia="fr-FR"/>
              </w:rPr>
              <w:t>Fatoumata Tenin</w:t>
            </w:r>
          </w:p>
        </w:tc>
        <w:tc>
          <w:tcPr>
            <w:tcW w:w="1181" w:type="pct"/>
            <w:vAlign w:val="center"/>
          </w:tcPr>
          <w:p w:rsidR="00301FC1" w:rsidRPr="00301FC1" w:rsidRDefault="00D04E78" w:rsidP="00B265B1">
            <w:pPr>
              <w:spacing w:after="0"/>
              <w:rPr>
                <w:rFonts w:eastAsia="Times New Roman"/>
                <w:color w:val="000000" w:themeColor="text1"/>
                <w:lang w:eastAsia="fr-FR"/>
              </w:rPr>
            </w:pPr>
            <w:r w:rsidRPr="00301FC1">
              <w:rPr>
                <w:rFonts w:eastAsia="Times New Roman"/>
                <w:color w:val="000000" w:themeColor="text1"/>
                <w:sz w:val="22"/>
                <w:szCs w:val="22"/>
                <w:lang w:eastAsia="fr-FR"/>
              </w:rPr>
              <w:t>BAGAYOKO</w:t>
            </w:r>
            <w:r w:rsidR="00301FC1" w:rsidRPr="00301FC1">
              <w:rPr>
                <w:rFonts w:eastAsia="Times New Roman"/>
                <w:color w:val="000000" w:themeColor="text1"/>
                <w:sz w:val="22"/>
                <w:szCs w:val="22"/>
                <w:lang w:eastAsia="fr-FR"/>
              </w:rPr>
              <w:t xml:space="preserve"> ZERBO</w:t>
            </w:r>
          </w:p>
        </w:tc>
        <w:tc>
          <w:tcPr>
            <w:tcW w:w="893" w:type="pct"/>
            <w:shd w:val="clear" w:color="auto" w:fill="auto"/>
            <w:noWrap/>
            <w:vAlign w:val="center"/>
          </w:tcPr>
          <w:p w:rsidR="00301FC1" w:rsidRPr="00301FC1" w:rsidRDefault="00301FC1" w:rsidP="00B265B1">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B265B1">
            <w:pPr>
              <w:spacing w:after="0"/>
              <w:rPr>
                <w:rFonts w:eastAsia="Times New Roman"/>
                <w:color w:val="000000" w:themeColor="text1"/>
                <w:lang w:eastAsia="fr-FR"/>
              </w:rPr>
            </w:pPr>
            <w:r w:rsidRPr="00301FC1">
              <w:rPr>
                <w:rFonts w:eastAsia="Times New Roman"/>
                <w:color w:val="000000" w:themeColor="text1"/>
                <w:sz w:val="22"/>
                <w:szCs w:val="22"/>
                <w:lang w:eastAsia="fr-FR"/>
              </w:rPr>
              <w:t>teninlb@gmail.com</w:t>
            </w:r>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Dr.</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Mamoutou</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DIABATE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DNS</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diabatemam@yahoo.fr</w:t>
            </w:r>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Birama Djan</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DIAKITE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INRSP</w:t>
            </w:r>
          </w:p>
        </w:tc>
        <w:tc>
          <w:tcPr>
            <w:tcW w:w="1574" w:type="pct"/>
            <w:shd w:val="clear" w:color="auto" w:fill="auto"/>
            <w:noWrap/>
            <w:vAlign w:val="center"/>
          </w:tcPr>
          <w:p w:rsidR="00301FC1" w:rsidRPr="00301FC1" w:rsidRDefault="00E72F8E" w:rsidP="00334333">
            <w:pPr>
              <w:spacing w:after="0"/>
              <w:rPr>
                <w:rFonts w:eastAsia="Times New Roman"/>
                <w:color w:val="000000" w:themeColor="text1"/>
                <w:lang w:eastAsia="fr-FR"/>
              </w:rPr>
            </w:pPr>
            <w:hyperlink r:id="rId18" w:history="1">
              <w:r w:rsidR="00301FC1" w:rsidRPr="00301FC1">
                <w:rPr>
                  <w:rFonts w:eastAsia="Times New Roman"/>
                  <w:color w:val="000000" w:themeColor="text1"/>
                  <w:sz w:val="22"/>
                  <w:szCs w:val="22"/>
                  <w:lang w:eastAsia="fr-FR"/>
                </w:rPr>
                <w:t>biramad@yahoo.fr</w:t>
              </w:r>
            </w:hyperlink>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Salah Mahamane</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DIALLO</w:t>
            </w:r>
          </w:p>
        </w:tc>
        <w:tc>
          <w:tcPr>
            <w:tcW w:w="893"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salahmahamane@yahoo.fr</w:t>
            </w:r>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Kafing</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DIARRA</w:t>
            </w:r>
          </w:p>
        </w:tc>
        <w:tc>
          <w:tcPr>
            <w:tcW w:w="893"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INRSP</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kafingd@yahoo.fr</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Mme.</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Goundo</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KEITA</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34333" w:rsidRDefault="00E72F8E" w:rsidP="00334333">
            <w:pPr>
              <w:spacing w:after="0"/>
              <w:rPr>
                <w:rFonts w:eastAsia="Times New Roman"/>
                <w:color w:val="000000" w:themeColor="text1"/>
                <w:lang w:eastAsia="fr-FR"/>
              </w:rPr>
            </w:pPr>
            <w:hyperlink r:id="rId19" w:history="1">
              <w:r w:rsidR="00301FC1" w:rsidRPr="00334333">
                <w:rPr>
                  <w:rFonts w:eastAsia="Times New Roman"/>
                  <w:color w:val="000000" w:themeColor="text1"/>
                  <w:sz w:val="22"/>
                  <w:szCs w:val="22"/>
                  <w:lang w:eastAsia="fr-FR"/>
                </w:rPr>
                <w:t>kgoundo@gmail.com</w:t>
              </w:r>
            </w:hyperlink>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tcPr>
          <w:p w:rsidR="00301FC1" w:rsidRPr="00301FC1" w:rsidRDefault="0000581B" w:rsidP="00334333">
            <w:pPr>
              <w:spacing w:after="0"/>
              <w:rPr>
                <w:rFonts w:eastAsia="Times New Roman"/>
                <w:color w:val="000000" w:themeColor="text1"/>
                <w:lang w:eastAsia="fr-FR"/>
              </w:rPr>
            </w:pPr>
            <w:r>
              <w:rPr>
                <w:rFonts w:eastAsia="Times New Roman"/>
                <w:color w:val="000000" w:themeColor="text1"/>
                <w:sz w:val="22"/>
                <w:szCs w:val="22"/>
                <w:lang w:eastAsia="fr-FR"/>
              </w:rPr>
              <w:t>Mahamadou</w:t>
            </w:r>
          </w:p>
        </w:tc>
        <w:tc>
          <w:tcPr>
            <w:tcW w:w="1181" w:type="pct"/>
            <w:vAlign w:val="center"/>
          </w:tcPr>
          <w:p w:rsidR="00301FC1" w:rsidRPr="00301FC1" w:rsidRDefault="00301FC1" w:rsidP="0000581B">
            <w:pPr>
              <w:spacing w:after="0"/>
              <w:rPr>
                <w:rFonts w:eastAsia="Times New Roman"/>
                <w:color w:val="000000" w:themeColor="text1"/>
                <w:lang w:eastAsia="fr-FR"/>
              </w:rPr>
            </w:pPr>
            <w:r w:rsidRPr="00301FC1">
              <w:rPr>
                <w:rFonts w:eastAsia="Times New Roman"/>
                <w:color w:val="000000" w:themeColor="text1"/>
                <w:sz w:val="22"/>
                <w:szCs w:val="22"/>
                <w:lang w:eastAsia="fr-FR"/>
              </w:rPr>
              <w:t>K</w:t>
            </w:r>
            <w:r w:rsidR="0000581B">
              <w:rPr>
                <w:rFonts w:eastAsia="Times New Roman"/>
                <w:color w:val="000000" w:themeColor="text1"/>
                <w:sz w:val="22"/>
                <w:szCs w:val="22"/>
                <w:lang w:eastAsia="fr-FR"/>
              </w:rPr>
              <w:t>EITA</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DFM/MFEF</w:t>
            </w:r>
          </w:p>
        </w:tc>
        <w:tc>
          <w:tcPr>
            <w:tcW w:w="1574" w:type="pct"/>
            <w:shd w:val="clear" w:color="auto" w:fill="auto"/>
            <w:noWrap/>
            <w:vAlign w:val="center"/>
          </w:tcPr>
          <w:p w:rsidR="00301FC1" w:rsidRPr="00301FC1" w:rsidRDefault="0000581B" w:rsidP="0000581B">
            <w:pPr>
              <w:spacing w:after="0"/>
              <w:rPr>
                <w:rFonts w:eastAsia="Times New Roman"/>
                <w:color w:val="000000" w:themeColor="text1"/>
                <w:lang w:eastAsia="fr-FR"/>
              </w:rPr>
            </w:pPr>
            <w:r>
              <w:rPr>
                <w:rFonts w:eastAsia="Times New Roman"/>
                <w:color w:val="000000" w:themeColor="text1"/>
                <w:sz w:val="22"/>
                <w:szCs w:val="22"/>
                <w:lang w:eastAsia="fr-FR"/>
              </w:rPr>
              <w:t>Kmahamadou6</w:t>
            </w:r>
            <w:r w:rsidR="00301FC1" w:rsidRPr="00301FC1">
              <w:rPr>
                <w:rFonts w:eastAsia="Times New Roman"/>
                <w:color w:val="000000" w:themeColor="text1"/>
                <w:sz w:val="22"/>
                <w:szCs w:val="22"/>
                <w:lang w:eastAsia="fr-FR"/>
              </w:rPr>
              <w:t>6@</w:t>
            </w:r>
            <w:r>
              <w:rPr>
                <w:rFonts w:eastAsia="Times New Roman"/>
                <w:color w:val="000000" w:themeColor="text1"/>
                <w:sz w:val="22"/>
                <w:szCs w:val="22"/>
                <w:lang w:eastAsia="fr-FR"/>
              </w:rPr>
              <w:t>gmail.COM</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Mme.</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Bintou</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KONE TOURE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34333" w:rsidRDefault="00E72F8E" w:rsidP="00334333">
            <w:pPr>
              <w:spacing w:after="0"/>
              <w:rPr>
                <w:rFonts w:eastAsia="Times New Roman"/>
                <w:color w:val="000000" w:themeColor="text1"/>
                <w:lang w:eastAsia="fr-FR"/>
              </w:rPr>
            </w:pPr>
            <w:hyperlink r:id="rId20" w:history="1">
              <w:r w:rsidR="00301FC1" w:rsidRPr="00334333">
                <w:rPr>
                  <w:rFonts w:eastAsia="Times New Roman"/>
                  <w:color w:val="000000" w:themeColor="text1"/>
                  <w:sz w:val="22"/>
                  <w:szCs w:val="22"/>
                  <w:lang w:eastAsia="fr-FR"/>
                </w:rPr>
                <w:t>binette1000@yahoo.fr</w:t>
              </w:r>
            </w:hyperlink>
          </w:p>
        </w:tc>
      </w:tr>
      <w:tr w:rsidR="0078644D" w:rsidRPr="00334333" w:rsidTr="00E22357">
        <w:trPr>
          <w:trHeight w:val="283"/>
        </w:trPr>
        <w:tc>
          <w:tcPr>
            <w:tcW w:w="360" w:type="pct"/>
            <w:shd w:val="clear" w:color="auto" w:fill="auto"/>
            <w:noWrap/>
            <w:vAlign w:val="center"/>
          </w:tcPr>
          <w:p w:rsidR="0078644D" w:rsidRPr="00301FC1" w:rsidRDefault="0078644D" w:rsidP="00334333">
            <w:pPr>
              <w:spacing w:after="0"/>
              <w:rPr>
                <w:rFonts w:eastAsia="Times New Roman"/>
                <w:color w:val="000000" w:themeColor="text1"/>
                <w:lang w:eastAsia="fr-FR"/>
              </w:rPr>
            </w:pPr>
            <w:r>
              <w:rPr>
                <w:rFonts w:eastAsia="Times New Roman"/>
                <w:color w:val="000000" w:themeColor="text1"/>
                <w:sz w:val="22"/>
                <w:szCs w:val="22"/>
                <w:lang w:eastAsia="fr-FR"/>
              </w:rPr>
              <w:t>Mme.</w:t>
            </w:r>
          </w:p>
        </w:tc>
        <w:tc>
          <w:tcPr>
            <w:tcW w:w="992" w:type="pct"/>
            <w:shd w:val="clear" w:color="auto" w:fill="auto"/>
            <w:noWrap/>
            <w:vAlign w:val="center"/>
          </w:tcPr>
          <w:p w:rsidR="0078644D" w:rsidRPr="00301FC1" w:rsidRDefault="0078644D" w:rsidP="00334333">
            <w:pPr>
              <w:spacing w:after="0"/>
              <w:rPr>
                <w:rFonts w:eastAsia="Times New Roman"/>
                <w:color w:val="000000" w:themeColor="text1"/>
                <w:lang w:eastAsia="fr-FR"/>
              </w:rPr>
            </w:pPr>
            <w:r>
              <w:rPr>
                <w:rFonts w:eastAsia="Times New Roman"/>
                <w:color w:val="000000" w:themeColor="text1"/>
                <w:sz w:val="22"/>
                <w:szCs w:val="22"/>
                <w:lang w:eastAsia="fr-FR"/>
              </w:rPr>
              <w:t>Fatoumata</w:t>
            </w:r>
          </w:p>
        </w:tc>
        <w:tc>
          <w:tcPr>
            <w:tcW w:w="1181" w:type="pct"/>
            <w:vAlign w:val="center"/>
          </w:tcPr>
          <w:p w:rsidR="0078644D" w:rsidRPr="00301FC1" w:rsidRDefault="0078644D" w:rsidP="00334333">
            <w:pPr>
              <w:spacing w:after="0"/>
              <w:rPr>
                <w:rFonts w:eastAsia="Times New Roman"/>
                <w:color w:val="000000" w:themeColor="text1"/>
                <w:lang w:eastAsia="fr-FR"/>
              </w:rPr>
            </w:pPr>
            <w:r>
              <w:rPr>
                <w:rFonts w:eastAsia="Times New Roman"/>
                <w:color w:val="000000" w:themeColor="text1"/>
                <w:sz w:val="22"/>
                <w:szCs w:val="22"/>
                <w:lang w:eastAsia="fr-FR"/>
              </w:rPr>
              <w:t>SAMAKE KEITA</w:t>
            </w:r>
          </w:p>
        </w:tc>
        <w:tc>
          <w:tcPr>
            <w:tcW w:w="893" w:type="pct"/>
            <w:shd w:val="clear" w:color="auto" w:fill="auto"/>
            <w:noWrap/>
            <w:vAlign w:val="center"/>
          </w:tcPr>
          <w:p w:rsidR="0078644D" w:rsidRPr="00301FC1" w:rsidRDefault="0078644D"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78644D" w:rsidRPr="00334333" w:rsidRDefault="00BF5235" w:rsidP="00334333">
            <w:pPr>
              <w:spacing w:after="0"/>
              <w:rPr>
                <w:rFonts w:eastAsia="Times New Roman"/>
                <w:color w:val="000000" w:themeColor="text1"/>
                <w:lang w:eastAsia="fr-FR"/>
              </w:rPr>
            </w:pPr>
            <w:r w:rsidRPr="00334333">
              <w:rPr>
                <w:rFonts w:eastAsia="Times New Roman"/>
                <w:color w:val="000000" w:themeColor="text1"/>
                <w:sz w:val="22"/>
                <w:szCs w:val="22"/>
                <w:lang w:eastAsia="fr-FR"/>
              </w:rPr>
              <w:t>assetou23@hotmail.com</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Drissa</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SANOGO</w:t>
            </w:r>
          </w:p>
        </w:tc>
        <w:tc>
          <w:tcPr>
            <w:tcW w:w="893"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dyngless@yahoo.fr</w:t>
            </w:r>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Charles</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SANOGO</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DFM/MSHP</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charlessanogo@yahoo.fr</w:t>
            </w:r>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Mahamadou</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SIDIBE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DGB</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m_sidibe86@yahoo.fr</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Mme.</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 xml:space="preserve">Mariam </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SISSOKO DOUMBIA</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madoum_frc@yahoo.fr</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Dr.</w:t>
            </w:r>
          </w:p>
        </w:tc>
        <w:tc>
          <w:tcPr>
            <w:tcW w:w="992"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Issa</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TRAORE</w:t>
            </w:r>
          </w:p>
        </w:tc>
        <w:tc>
          <w:tcPr>
            <w:tcW w:w="893"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traore_issa123@yahoo.fr</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Yaya</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TRAORE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DFM/MSAHRN</w:t>
            </w:r>
          </w:p>
        </w:tc>
        <w:tc>
          <w:tcPr>
            <w:tcW w:w="1574" w:type="pct"/>
            <w:shd w:val="clear" w:color="auto" w:fill="auto"/>
            <w:noWrap/>
            <w:vAlign w:val="center"/>
          </w:tcPr>
          <w:p w:rsidR="00301FC1" w:rsidRPr="00301FC1" w:rsidRDefault="00E72F8E" w:rsidP="00334333">
            <w:pPr>
              <w:spacing w:after="0"/>
              <w:rPr>
                <w:rFonts w:eastAsia="Times New Roman"/>
                <w:color w:val="000000" w:themeColor="text1"/>
                <w:lang w:eastAsia="fr-FR"/>
              </w:rPr>
            </w:pPr>
            <w:hyperlink r:id="rId21" w:history="1">
              <w:r w:rsidR="00301FC1" w:rsidRPr="00334333">
                <w:rPr>
                  <w:rFonts w:eastAsia="Times New Roman"/>
                  <w:color w:val="000000" w:themeColor="text1"/>
                  <w:sz w:val="22"/>
                  <w:szCs w:val="22"/>
                  <w:lang w:eastAsia="fr-FR"/>
                </w:rPr>
                <w:t>yasssko@yahoo.fr</w:t>
              </w:r>
            </w:hyperlink>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Soumana</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TRAORE</w:t>
            </w:r>
          </w:p>
        </w:tc>
        <w:tc>
          <w:tcPr>
            <w:tcW w:w="893"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INSTAT</w:t>
            </w:r>
          </w:p>
        </w:tc>
        <w:tc>
          <w:tcPr>
            <w:tcW w:w="1574" w:type="pct"/>
            <w:shd w:val="clear" w:color="auto" w:fill="auto"/>
            <w:noWrap/>
            <w:vAlign w:val="center"/>
          </w:tcPr>
          <w:p w:rsidR="00301FC1" w:rsidRPr="00301FC1" w:rsidRDefault="00E72F8E" w:rsidP="00334333">
            <w:pPr>
              <w:spacing w:after="0"/>
              <w:rPr>
                <w:rFonts w:eastAsia="Times New Roman"/>
                <w:color w:val="000000" w:themeColor="text1"/>
                <w:lang w:eastAsia="fr-FR"/>
              </w:rPr>
            </w:pPr>
            <w:hyperlink r:id="rId22" w:history="1">
              <w:r w:rsidR="00301FC1" w:rsidRPr="00334333">
                <w:rPr>
                  <w:rFonts w:eastAsia="Times New Roman"/>
                  <w:color w:val="000000" w:themeColor="text1"/>
                  <w:sz w:val="22"/>
                  <w:szCs w:val="22"/>
                  <w:lang w:eastAsia="fr-FR"/>
                </w:rPr>
                <w:t>soumatra56@yahoo.fr</w:t>
              </w:r>
            </w:hyperlink>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Mme.</w:t>
            </w:r>
          </w:p>
        </w:tc>
        <w:tc>
          <w:tcPr>
            <w:tcW w:w="992" w:type="pct"/>
            <w:shd w:val="clear" w:color="auto" w:fill="auto"/>
            <w:noWrap/>
            <w:vAlign w:val="center"/>
          </w:tcPr>
          <w:p w:rsidR="00301FC1" w:rsidRPr="00301FC1" w:rsidRDefault="0000581B" w:rsidP="00334333">
            <w:pPr>
              <w:spacing w:after="0"/>
              <w:rPr>
                <w:rFonts w:eastAsia="Times New Roman"/>
                <w:color w:val="000000" w:themeColor="text1"/>
                <w:lang w:eastAsia="fr-FR"/>
              </w:rPr>
            </w:pPr>
            <w:r>
              <w:rPr>
                <w:rFonts w:eastAsia="Times New Roman"/>
                <w:color w:val="000000" w:themeColor="text1"/>
                <w:sz w:val="22"/>
                <w:szCs w:val="22"/>
                <w:lang w:eastAsia="fr-FR"/>
              </w:rPr>
              <w:t>Kadiatou</w:t>
            </w:r>
          </w:p>
        </w:tc>
        <w:tc>
          <w:tcPr>
            <w:tcW w:w="1181" w:type="pct"/>
            <w:vAlign w:val="center"/>
          </w:tcPr>
          <w:p w:rsidR="00301FC1" w:rsidRPr="00301FC1" w:rsidRDefault="0000581B" w:rsidP="00334333">
            <w:pPr>
              <w:spacing w:after="0"/>
              <w:rPr>
                <w:rFonts w:eastAsia="Times New Roman"/>
                <w:color w:val="000000" w:themeColor="text1"/>
                <w:lang w:eastAsia="fr-FR"/>
              </w:rPr>
            </w:pPr>
            <w:r>
              <w:rPr>
                <w:rFonts w:eastAsia="Times New Roman"/>
                <w:color w:val="000000" w:themeColor="text1"/>
                <w:sz w:val="22"/>
                <w:szCs w:val="22"/>
                <w:lang w:eastAsia="fr-FR"/>
              </w:rPr>
              <w:t>CISSE BAGAYOKO</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00581B" w:rsidP="00334333">
            <w:pPr>
              <w:spacing w:after="0"/>
              <w:rPr>
                <w:rFonts w:eastAsia="Times New Roman"/>
                <w:color w:val="000000" w:themeColor="text1"/>
                <w:lang w:eastAsia="fr-FR"/>
              </w:rPr>
            </w:pPr>
            <w:r>
              <w:rPr>
                <w:rFonts w:eastAsia="Times New Roman"/>
                <w:color w:val="000000" w:themeColor="text1"/>
                <w:sz w:val="22"/>
                <w:szCs w:val="22"/>
                <w:lang w:eastAsia="fr-FR"/>
              </w:rPr>
              <w:t>cherifgna</w:t>
            </w:r>
            <w:r w:rsidR="00301FC1" w:rsidRPr="00301FC1">
              <w:rPr>
                <w:rFonts w:eastAsia="Times New Roman"/>
                <w:color w:val="000000" w:themeColor="text1"/>
                <w:sz w:val="22"/>
                <w:szCs w:val="22"/>
                <w:lang w:eastAsia="fr-FR"/>
              </w:rPr>
              <w:t>@yahoo.fr</w:t>
            </w:r>
          </w:p>
        </w:tc>
      </w:tr>
    </w:tbl>
    <w:p w:rsidR="00BA6894" w:rsidRDefault="0078644D" w:rsidP="0078644D">
      <w:pPr>
        <w:pStyle w:val="Titre1"/>
        <w:ind w:left="720"/>
      </w:pPr>
      <w:r>
        <w:t>Coordination</w:t>
      </w:r>
    </w:p>
    <w:tbl>
      <w:tblPr>
        <w:tblW w:w="5000" w:type="pct"/>
        <w:tblCellMar>
          <w:left w:w="70" w:type="dxa"/>
          <w:right w:w="70" w:type="dxa"/>
        </w:tblCellMar>
        <w:tblLook w:val="04A0"/>
      </w:tblPr>
      <w:tblGrid>
        <w:gridCol w:w="636"/>
        <w:gridCol w:w="1843"/>
        <w:gridCol w:w="2204"/>
        <w:gridCol w:w="1655"/>
        <w:gridCol w:w="3208"/>
      </w:tblGrid>
      <w:tr w:rsidR="0078644D" w:rsidRPr="00301FC1" w:rsidTr="00E22357">
        <w:trPr>
          <w:trHeight w:val="229"/>
        </w:trPr>
        <w:tc>
          <w:tcPr>
            <w:tcW w:w="1352" w:type="pct"/>
            <w:gridSpan w:val="2"/>
            <w:shd w:val="clear" w:color="auto" w:fill="auto"/>
            <w:vAlign w:val="center"/>
            <w:hideMark/>
          </w:tcPr>
          <w:p w:rsidR="0078644D" w:rsidRPr="00301FC1" w:rsidRDefault="0078644D" w:rsidP="0078644D">
            <w:pPr>
              <w:spacing w:after="0"/>
              <w:jc w:val="left"/>
              <w:rPr>
                <w:rFonts w:eastAsia="Times New Roman"/>
                <w:b/>
                <w:bCs w:val="0"/>
                <w:lang w:eastAsia="fr-FR"/>
              </w:rPr>
            </w:pPr>
            <w:r w:rsidRPr="00301FC1">
              <w:rPr>
                <w:rFonts w:eastAsia="Times New Roman"/>
                <w:b/>
                <w:sz w:val="22"/>
                <w:szCs w:val="22"/>
                <w:lang w:eastAsia="fr-FR"/>
              </w:rPr>
              <w:t>PRENOMS</w:t>
            </w:r>
          </w:p>
        </w:tc>
        <w:tc>
          <w:tcPr>
            <w:tcW w:w="1181" w:type="pct"/>
            <w:vAlign w:val="center"/>
          </w:tcPr>
          <w:p w:rsidR="0078644D" w:rsidRPr="00301FC1" w:rsidRDefault="0078644D" w:rsidP="0078644D">
            <w:pPr>
              <w:spacing w:after="0"/>
              <w:jc w:val="left"/>
              <w:rPr>
                <w:rFonts w:eastAsia="Times New Roman"/>
                <w:b/>
                <w:bCs w:val="0"/>
                <w:lang w:eastAsia="fr-FR"/>
              </w:rPr>
            </w:pPr>
            <w:r w:rsidRPr="00301FC1">
              <w:rPr>
                <w:rFonts w:eastAsia="Times New Roman"/>
                <w:b/>
                <w:bCs w:val="0"/>
                <w:sz w:val="22"/>
                <w:szCs w:val="22"/>
                <w:lang w:eastAsia="fr-FR"/>
              </w:rPr>
              <w:t>Noms</w:t>
            </w:r>
          </w:p>
        </w:tc>
        <w:tc>
          <w:tcPr>
            <w:tcW w:w="893" w:type="pct"/>
            <w:shd w:val="clear" w:color="auto" w:fill="auto"/>
            <w:noWrap/>
            <w:vAlign w:val="center"/>
            <w:hideMark/>
          </w:tcPr>
          <w:p w:rsidR="0078644D" w:rsidRPr="00301FC1" w:rsidRDefault="0078644D" w:rsidP="0078644D">
            <w:pPr>
              <w:spacing w:after="0"/>
              <w:jc w:val="left"/>
              <w:rPr>
                <w:rFonts w:eastAsia="Times New Roman"/>
                <w:b/>
                <w:bCs w:val="0"/>
                <w:lang w:eastAsia="fr-FR"/>
              </w:rPr>
            </w:pPr>
            <w:r w:rsidRPr="00301FC1">
              <w:rPr>
                <w:rFonts w:eastAsia="Times New Roman"/>
                <w:b/>
                <w:bCs w:val="0"/>
                <w:sz w:val="22"/>
                <w:szCs w:val="22"/>
                <w:lang w:eastAsia="fr-FR"/>
              </w:rPr>
              <w:t>Structure</w:t>
            </w:r>
          </w:p>
        </w:tc>
        <w:tc>
          <w:tcPr>
            <w:tcW w:w="1574" w:type="pct"/>
            <w:shd w:val="clear" w:color="auto" w:fill="auto"/>
            <w:vAlign w:val="center"/>
            <w:hideMark/>
          </w:tcPr>
          <w:p w:rsidR="0078644D" w:rsidRPr="00301FC1" w:rsidRDefault="0078644D" w:rsidP="0078644D">
            <w:pPr>
              <w:spacing w:after="0"/>
              <w:jc w:val="left"/>
              <w:rPr>
                <w:rFonts w:eastAsia="Times New Roman"/>
                <w:b/>
                <w:bCs w:val="0"/>
                <w:lang w:eastAsia="fr-FR"/>
              </w:rPr>
            </w:pPr>
            <w:r w:rsidRPr="00301FC1">
              <w:rPr>
                <w:rFonts w:eastAsia="Times New Roman"/>
                <w:b/>
                <w:sz w:val="22"/>
                <w:szCs w:val="22"/>
                <w:lang w:eastAsia="fr-FR"/>
              </w:rPr>
              <w:t>E-mail</w:t>
            </w:r>
          </w:p>
        </w:tc>
      </w:tr>
      <w:tr w:rsidR="00334333" w:rsidRPr="00301FC1" w:rsidTr="00E22357">
        <w:trPr>
          <w:trHeight w:val="283"/>
        </w:trPr>
        <w:tc>
          <w:tcPr>
            <w:tcW w:w="360" w:type="pct"/>
            <w:shd w:val="clear" w:color="auto" w:fill="auto"/>
            <w:noWrap/>
            <w:vAlign w:val="center"/>
          </w:tcPr>
          <w:p w:rsidR="00334333" w:rsidRPr="00301FC1" w:rsidRDefault="00334333"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Dr.</w:t>
            </w:r>
          </w:p>
        </w:tc>
        <w:tc>
          <w:tcPr>
            <w:tcW w:w="992" w:type="pct"/>
            <w:shd w:val="clear" w:color="auto" w:fill="auto"/>
            <w:noWrap/>
            <w:vAlign w:val="center"/>
          </w:tcPr>
          <w:p w:rsidR="00334333" w:rsidRPr="00301FC1" w:rsidRDefault="0000581B" w:rsidP="00334333">
            <w:pPr>
              <w:spacing w:after="0"/>
              <w:rPr>
                <w:rFonts w:eastAsia="Times New Roman"/>
                <w:color w:val="000000" w:themeColor="text1"/>
                <w:lang w:eastAsia="fr-FR"/>
              </w:rPr>
            </w:pPr>
            <w:r>
              <w:rPr>
                <w:rFonts w:eastAsia="Times New Roman"/>
                <w:color w:val="000000" w:themeColor="text1"/>
                <w:sz w:val="22"/>
                <w:szCs w:val="22"/>
                <w:lang w:eastAsia="fr-FR"/>
              </w:rPr>
              <w:t>Mountaga</w:t>
            </w:r>
          </w:p>
        </w:tc>
        <w:tc>
          <w:tcPr>
            <w:tcW w:w="1181" w:type="pct"/>
            <w:vAlign w:val="center"/>
          </w:tcPr>
          <w:p w:rsidR="00334333" w:rsidRPr="00301FC1" w:rsidRDefault="0000581B" w:rsidP="00334333">
            <w:pPr>
              <w:spacing w:after="0"/>
              <w:rPr>
                <w:rFonts w:eastAsia="Times New Roman"/>
                <w:color w:val="000000" w:themeColor="text1"/>
                <w:lang w:eastAsia="fr-FR"/>
              </w:rPr>
            </w:pPr>
            <w:r>
              <w:rPr>
                <w:rFonts w:eastAsia="Times New Roman"/>
                <w:color w:val="000000" w:themeColor="text1"/>
                <w:sz w:val="22"/>
                <w:szCs w:val="22"/>
                <w:lang w:eastAsia="fr-FR"/>
              </w:rPr>
              <w:t>BOUARE</w:t>
            </w:r>
          </w:p>
        </w:tc>
        <w:tc>
          <w:tcPr>
            <w:tcW w:w="893" w:type="pct"/>
            <w:shd w:val="clear" w:color="auto" w:fill="auto"/>
            <w:noWrap/>
            <w:vAlign w:val="center"/>
          </w:tcPr>
          <w:p w:rsidR="00334333" w:rsidRPr="00301FC1" w:rsidRDefault="00334333" w:rsidP="00334333">
            <w:pPr>
              <w:spacing w:after="0"/>
              <w:rPr>
                <w:rFonts w:eastAsia="Times New Roman"/>
                <w:color w:val="000000" w:themeColor="text1"/>
                <w:lang w:eastAsia="fr-FR"/>
              </w:rPr>
            </w:pPr>
            <w:r w:rsidRPr="002F131D">
              <w:rPr>
                <w:rFonts w:eastAsia="Times New Roman"/>
                <w:color w:val="000000" w:themeColor="text1"/>
                <w:sz w:val="22"/>
                <w:szCs w:val="22"/>
                <w:lang w:eastAsia="fr-FR"/>
              </w:rPr>
              <w:t>CPS/SS-DS-PF</w:t>
            </w:r>
          </w:p>
        </w:tc>
        <w:tc>
          <w:tcPr>
            <w:tcW w:w="1574" w:type="pct"/>
            <w:shd w:val="clear" w:color="auto" w:fill="auto"/>
            <w:noWrap/>
            <w:vAlign w:val="center"/>
          </w:tcPr>
          <w:p w:rsidR="00334333" w:rsidRPr="00301FC1" w:rsidRDefault="0000581B" w:rsidP="00334333">
            <w:pPr>
              <w:spacing w:after="0"/>
              <w:rPr>
                <w:rFonts w:eastAsia="Times New Roman"/>
                <w:color w:val="000000" w:themeColor="text1"/>
                <w:lang w:eastAsia="fr-FR"/>
              </w:rPr>
            </w:pPr>
            <w:r>
              <w:rPr>
                <w:rFonts w:eastAsia="Times New Roman"/>
                <w:color w:val="000000" w:themeColor="text1"/>
                <w:sz w:val="22"/>
                <w:szCs w:val="22"/>
                <w:lang w:eastAsia="fr-FR"/>
              </w:rPr>
              <w:t>Pa27mountagadebore12</w:t>
            </w:r>
            <w:r w:rsidR="00334333" w:rsidRPr="00301FC1">
              <w:rPr>
                <w:rFonts w:eastAsia="Times New Roman"/>
                <w:color w:val="000000" w:themeColor="text1"/>
                <w:sz w:val="22"/>
                <w:szCs w:val="22"/>
                <w:lang w:eastAsia="fr-FR"/>
              </w:rPr>
              <w:t>@yahoo.fr</w:t>
            </w:r>
          </w:p>
        </w:tc>
      </w:tr>
      <w:tr w:rsidR="00334333" w:rsidRPr="00301FC1" w:rsidTr="00E22357">
        <w:trPr>
          <w:trHeight w:val="20"/>
        </w:trPr>
        <w:tc>
          <w:tcPr>
            <w:tcW w:w="360" w:type="pct"/>
            <w:shd w:val="clear" w:color="auto" w:fill="auto"/>
            <w:noWrap/>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Dr</w:t>
            </w:r>
            <w:r w:rsidRPr="00301FC1">
              <w:rPr>
                <w:rFonts w:eastAsia="Times New Roman"/>
                <w:color w:val="000000" w:themeColor="text1"/>
                <w:sz w:val="22"/>
                <w:szCs w:val="22"/>
                <w:lang w:eastAsia="fr-FR"/>
              </w:rPr>
              <w:t>.</w:t>
            </w:r>
          </w:p>
        </w:tc>
        <w:tc>
          <w:tcPr>
            <w:tcW w:w="992" w:type="pct"/>
            <w:shd w:val="clear" w:color="auto" w:fill="auto"/>
            <w:noWrap/>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Sidi</w:t>
            </w:r>
          </w:p>
        </w:tc>
        <w:tc>
          <w:tcPr>
            <w:tcW w:w="1181" w:type="pct"/>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SIDIBE</w:t>
            </w:r>
          </w:p>
        </w:tc>
        <w:tc>
          <w:tcPr>
            <w:tcW w:w="893" w:type="pct"/>
            <w:shd w:val="clear" w:color="auto" w:fill="auto"/>
            <w:noWrap/>
            <w:vAlign w:val="center"/>
          </w:tcPr>
          <w:p w:rsidR="00334333" w:rsidRPr="0078644D" w:rsidRDefault="00334333" w:rsidP="00334333">
            <w:pPr>
              <w:spacing w:after="0"/>
              <w:jc w:val="left"/>
              <w:rPr>
                <w:rFonts w:eastAsia="Times New Roman"/>
                <w:color w:val="000000" w:themeColor="text1"/>
                <w:lang w:eastAsia="fr-FR"/>
              </w:rPr>
            </w:pPr>
            <w:r w:rsidRPr="002F131D">
              <w:rPr>
                <w:rFonts w:eastAsia="Times New Roman"/>
                <w:color w:val="000000" w:themeColor="text1"/>
                <w:sz w:val="22"/>
                <w:szCs w:val="22"/>
                <w:lang w:eastAsia="fr-FR"/>
              </w:rPr>
              <w:t>CPS/SS-DS-PF</w:t>
            </w:r>
          </w:p>
        </w:tc>
        <w:tc>
          <w:tcPr>
            <w:tcW w:w="1574" w:type="pct"/>
            <w:shd w:val="clear" w:color="auto" w:fill="auto"/>
            <w:noWrap/>
            <w:vAlign w:val="center"/>
          </w:tcPr>
          <w:p w:rsidR="00334333" w:rsidRPr="00301FC1" w:rsidRDefault="00E72F8E" w:rsidP="00334333">
            <w:pPr>
              <w:spacing w:after="0"/>
              <w:jc w:val="left"/>
              <w:rPr>
                <w:rFonts w:eastAsia="Times New Roman"/>
                <w:color w:val="000000" w:themeColor="text1"/>
                <w:lang w:eastAsia="fr-FR"/>
              </w:rPr>
            </w:pPr>
            <w:hyperlink r:id="rId23" w:history="1">
              <w:r w:rsidR="00334333" w:rsidRPr="0078644D">
                <w:rPr>
                  <w:color w:val="000000" w:themeColor="text1"/>
                  <w:lang w:eastAsia="fr-FR"/>
                </w:rPr>
                <w:t xml:space="preserve"> sidihalass@yahoo.fr</w:t>
              </w:r>
            </w:hyperlink>
          </w:p>
        </w:tc>
      </w:tr>
      <w:tr w:rsidR="00334333" w:rsidRPr="00301FC1" w:rsidTr="00E22357">
        <w:trPr>
          <w:trHeight w:val="20"/>
        </w:trPr>
        <w:tc>
          <w:tcPr>
            <w:tcW w:w="360" w:type="pct"/>
            <w:shd w:val="clear" w:color="auto" w:fill="auto"/>
            <w:noWrap/>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Dr</w:t>
            </w:r>
            <w:r w:rsidRPr="00301FC1">
              <w:rPr>
                <w:rFonts w:eastAsia="Times New Roman"/>
                <w:color w:val="000000" w:themeColor="text1"/>
                <w:sz w:val="22"/>
                <w:szCs w:val="22"/>
                <w:lang w:eastAsia="fr-FR"/>
              </w:rPr>
              <w:t>.</w:t>
            </w:r>
          </w:p>
        </w:tc>
        <w:tc>
          <w:tcPr>
            <w:tcW w:w="992" w:type="pct"/>
            <w:shd w:val="clear" w:color="auto" w:fill="auto"/>
            <w:noWrap/>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Sarmoye</w:t>
            </w:r>
          </w:p>
        </w:tc>
        <w:tc>
          <w:tcPr>
            <w:tcW w:w="1181" w:type="pct"/>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CISSE</w:t>
            </w:r>
          </w:p>
        </w:tc>
        <w:tc>
          <w:tcPr>
            <w:tcW w:w="893" w:type="pct"/>
            <w:shd w:val="clear" w:color="auto" w:fill="auto"/>
            <w:noWrap/>
            <w:vAlign w:val="center"/>
          </w:tcPr>
          <w:p w:rsidR="00334333" w:rsidRPr="0078644D"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OMS/Mali</w:t>
            </w:r>
          </w:p>
        </w:tc>
        <w:tc>
          <w:tcPr>
            <w:tcW w:w="1574" w:type="pct"/>
            <w:shd w:val="clear" w:color="auto" w:fill="auto"/>
            <w:noWrap/>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cisses@who.int</w:t>
            </w:r>
          </w:p>
        </w:tc>
      </w:tr>
    </w:tbl>
    <w:p w:rsidR="0078644D" w:rsidRPr="0078644D" w:rsidRDefault="0078644D" w:rsidP="0078644D">
      <w:pPr>
        <w:rPr>
          <w:lang w:eastAsia="en-US"/>
        </w:rPr>
      </w:pPr>
    </w:p>
    <w:p w:rsidR="0078644D" w:rsidRDefault="0078644D" w:rsidP="00BA6894">
      <w:pPr>
        <w:rPr>
          <w:lang w:eastAsia="en-US"/>
        </w:rPr>
      </w:pPr>
    </w:p>
    <w:p w:rsidR="0078644D" w:rsidRPr="00BA6894" w:rsidRDefault="0078644D" w:rsidP="00BA6894">
      <w:pPr>
        <w:rPr>
          <w:lang w:eastAsia="en-US"/>
        </w:rPr>
        <w:sectPr w:rsidR="0078644D" w:rsidRPr="00BA6894" w:rsidSect="008A70CE">
          <w:pgSz w:w="12240" w:h="15840"/>
          <w:pgMar w:top="1417" w:right="1417" w:bottom="1417" w:left="1417" w:header="720" w:footer="720" w:gutter="0"/>
          <w:pgNumType w:fmt="upperRoman" w:start="1"/>
          <w:cols w:space="720"/>
          <w:docGrid w:linePitch="326"/>
        </w:sectPr>
      </w:pPr>
    </w:p>
    <w:p w:rsidR="00662EE2" w:rsidRPr="00662EE2" w:rsidRDefault="0095704D" w:rsidP="00E833B5">
      <w:pPr>
        <w:pStyle w:val="Titre1"/>
        <w:ind w:left="720"/>
      </w:pPr>
      <w:bookmarkStart w:id="108" w:name="_Toc413941283"/>
      <w:r>
        <w:t>Annexes</w:t>
      </w:r>
      <w:bookmarkEnd w:id="108"/>
    </w:p>
    <w:p w:rsidR="00390C11" w:rsidRPr="00DE5EDA" w:rsidRDefault="00DE5EDA" w:rsidP="00DE5EDA">
      <w:pPr>
        <w:pStyle w:val="Lgende"/>
        <w:spacing w:after="0"/>
        <w:rPr>
          <w:color w:val="000000" w:themeColor="text1"/>
          <w:sz w:val="20"/>
          <w:szCs w:val="20"/>
          <w:lang w:eastAsia="en-US"/>
        </w:rPr>
      </w:pPr>
      <w:bookmarkStart w:id="109" w:name="_Toc418858334"/>
      <w:r w:rsidRPr="00DE5EDA">
        <w:rPr>
          <w:color w:val="000000" w:themeColor="text1"/>
          <w:sz w:val="20"/>
          <w:szCs w:val="20"/>
        </w:rPr>
        <w:t xml:space="preserve">Tableau annexe </w:t>
      </w:r>
      <w:r w:rsidR="00E72F8E" w:rsidRPr="00DE5EDA">
        <w:rPr>
          <w:color w:val="000000" w:themeColor="text1"/>
          <w:sz w:val="20"/>
          <w:szCs w:val="20"/>
        </w:rPr>
        <w:fldChar w:fldCharType="begin"/>
      </w:r>
      <w:r w:rsidRPr="00DE5EDA">
        <w:rPr>
          <w:color w:val="000000" w:themeColor="text1"/>
          <w:sz w:val="20"/>
          <w:szCs w:val="20"/>
        </w:rPr>
        <w:instrText xml:space="preserve"> SEQ Tableau_annexe \* ARABIC </w:instrText>
      </w:r>
      <w:r w:rsidR="00E72F8E" w:rsidRPr="00DE5EDA">
        <w:rPr>
          <w:color w:val="000000" w:themeColor="text1"/>
          <w:sz w:val="20"/>
          <w:szCs w:val="20"/>
        </w:rPr>
        <w:fldChar w:fldCharType="separate"/>
      </w:r>
      <w:r w:rsidR="00E65EDB">
        <w:rPr>
          <w:noProof/>
          <w:color w:val="000000" w:themeColor="text1"/>
          <w:sz w:val="20"/>
          <w:szCs w:val="20"/>
        </w:rPr>
        <w:t>1</w:t>
      </w:r>
      <w:r w:rsidR="00E72F8E" w:rsidRPr="00DE5EDA">
        <w:rPr>
          <w:color w:val="000000" w:themeColor="text1"/>
          <w:sz w:val="20"/>
          <w:szCs w:val="20"/>
        </w:rPr>
        <w:fldChar w:fldCharType="end"/>
      </w:r>
      <w:r w:rsidR="009844A2" w:rsidRPr="00DE5EDA">
        <w:rPr>
          <w:color w:val="000000" w:themeColor="text1"/>
          <w:sz w:val="20"/>
          <w:szCs w:val="20"/>
          <w:lang w:eastAsia="en-US"/>
        </w:rPr>
        <w:t>: Description des cl</w:t>
      </w:r>
      <w:r w:rsidRPr="00DE5EDA">
        <w:rPr>
          <w:color w:val="000000" w:themeColor="text1"/>
          <w:sz w:val="20"/>
          <w:szCs w:val="20"/>
          <w:lang w:eastAsia="en-US"/>
        </w:rPr>
        <w:t>és de répartition utilisées pour</w:t>
      </w:r>
      <w:r w:rsidR="009844A2" w:rsidRPr="00DE5EDA">
        <w:rPr>
          <w:color w:val="000000" w:themeColor="text1"/>
          <w:sz w:val="20"/>
          <w:szCs w:val="20"/>
          <w:lang w:eastAsia="en-US"/>
        </w:rPr>
        <w:t xml:space="preserve"> la codification des données</w:t>
      </w:r>
      <w:bookmarkEnd w:id="109"/>
    </w:p>
    <w:tbl>
      <w:tblPr>
        <w:tblStyle w:val="Grilledutableau"/>
        <w:tblpPr w:leftFromText="141" w:rightFromText="141" w:vertAnchor="page" w:tblpY="2701"/>
        <w:tblW w:w="5000" w:type="pct"/>
        <w:tblLook w:val="04A0"/>
      </w:tblPr>
      <w:tblGrid>
        <w:gridCol w:w="2782"/>
        <w:gridCol w:w="2613"/>
        <w:gridCol w:w="7827"/>
      </w:tblGrid>
      <w:tr w:rsidR="00D75DD5" w:rsidRPr="00662EE2" w:rsidTr="008A70CE">
        <w:trPr>
          <w:trHeight w:val="20"/>
          <w:tblHeader/>
        </w:trPr>
        <w:tc>
          <w:tcPr>
            <w:tcW w:w="1052" w:type="pct"/>
          </w:tcPr>
          <w:p w:rsidR="00D75DD5" w:rsidRPr="00662EE2" w:rsidRDefault="00D75DD5" w:rsidP="008A70CE">
            <w:pPr>
              <w:spacing w:after="0" w:line="312" w:lineRule="auto"/>
              <w:contextualSpacing/>
              <w:rPr>
                <w:rFonts w:ascii="Arial" w:hAnsi="Arial" w:cs="Arial"/>
                <w:b/>
                <w:sz w:val="20"/>
                <w:szCs w:val="20"/>
              </w:rPr>
            </w:pPr>
            <w:r w:rsidRPr="00662EE2">
              <w:rPr>
                <w:rFonts w:ascii="Arial" w:hAnsi="Arial" w:cs="Arial"/>
                <w:b/>
                <w:sz w:val="20"/>
                <w:szCs w:val="20"/>
              </w:rPr>
              <w:t>Clé de répartition</w:t>
            </w:r>
          </w:p>
        </w:tc>
        <w:tc>
          <w:tcPr>
            <w:tcW w:w="988" w:type="pct"/>
          </w:tcPr>
          <w:p w:rsidR="00D75DD5" w:rsidRPr="00662EE2" w:rsidRDefault="00D75DD5" w:rsidP="008A70CE">
            <w:pPr>
              <w:spacing w:after="0" w:line="312" w:lineRule="auto"/>
              <w:contextualSpacing/>
              <w:rPr>
                <w:rFonts w:ascii="Arial" w:hAnsi="Arial" w:cs="Arial"/>
                <w:b/>
                <w:sz w:val="20"/>
                <w:szCs w:val="20"/>
              </w:rPr>
            </w:pPr>
            <w:r w:rsidRPr="00662EE2">
              <w:rPr>
                <w:rFonts w:ascii="Arial" w:hAnsi="Arial" w:cs="Arial"/>
                <w:b/>
                <w:sz w:val="20"/>
                <w:szCs w:val="20"/>
              </w:rPr>
              <w:t>Source de données</w:t>
            </w:r>
          </w:p>
        </w:tc>
        <w:tc>
          <w:tcPr>
            <w:tcW w:w="2960" w:type="pct"/>
          </w:tcPr>
          <w:p w:rsidR="00D75DD5" w:rsidRPr="00662EE2" w:rsidRDefault="00D75DD5" w:rsidP="008A70CE">
            <w:pPr>
              <w:spacing w:after="0" w:line="312" w:lineRule="auto"/>
              <w:contextualSpacing/>
              <w:rPr>
                <w:rFonts w:ascii="Arial" w:hAnsi="Arial" w:cs="Arial"/>
                <w:b/>
                <w:sz w:val="20"/>
                <w:szCs w:val="20"/>
              </w:rPr>
            </w:pPr>
            <w:r w:rsidRPr="00662EE2">
              <w:rPr>
                <w:rFonts w:ascii="Arial" w:hAnsi="Arial" w:cs="Arial"/>
                <w:b/>
                <w:sz w:val="20"/>
                <w:szCs w:val="20"/>
              </w:rPr>
              <w:t>Définition Méthodologie</w:t>
            </w:r>
          </w:p>
        </w:tc>
      </w:tr>
      <w:tr w:rsidR="00D75DD5" w:rsidRPr="00662EE2" w:rsidTr="008A70CE">
        <w:trPr>
          <w:trHeight w:val="20"/>
          <w:tblHeader/>
        </w:trPr>
        <w:tc>
          <w:tcPr>
            <w:tcW w:w="1052" w:type="pct"/>
          </w:tcPr>
          <w:p w:rsidR="00D75DD5" w:rsidRPr="00662EE2" w:rsidRDefault="00D75DD5" w:rsidP="008A70CE">
            <w:pPr>
              <w:spacing w:after="0" w:line="312" w:lineRule="auto"/>
              <w:contextualSpacing/>
              <w:jc w:val="left"/>
              <w:rPr>
                <w:rFonts w:ascii="Arial" w:hAnsi="Arial" w:cs="Arial"/>
                <w:sz w:val="20"/>
                <w:szCs w:val="20"/>
              </w:rPr>
            </w:pPr>
            <w:r w:rsidRPr="00662EE2">
              <w:rPr>
                <w:rFonts w:ascii="Arial" w:hAnsi="Arial" w:cs="Arial"/>
                <w:sz w:val="20"/>
                <w:szCs w:val="20"/>
              </w:rPr>
              <w:t>Clé RG (EDS), Clé RG (EDS) régions du Nord ; Clé RG Sikasso, Ségou, Mopti</w:t>
            </w:r>
          </w:p>
        </w:tc>
        <w:tc>
          <w:tcPr>
            <w:tcW w:w="988" w:type="pct"/>
          </w:tcPr>
          <w:p w:rsidR="00D75DD5" w:rsidRPr="00662EE2" w:rsidRDefault="00D75DD5" w:rsidP="008A70CE">
            <w:pPr>
              <w:spacing w:after="0" w:line="312" w:lineRule="auto"/>
              <w:contextualSpacing/>
              <w:jc w:val="left"/>
              <w:rPr>
                <w:rFonts w:ascii="Arial" w:hAnsi="Arial" w:cs="Arial"/>
                <w:sz w:val="20"/>
                <w:szCs w:val="20"/>
              </w:rPr>
            </w:pPr>
            <w:r w:rsidRPr="00662EE2">
              <w:rPr>
                <w:rFonts w:ascii="Arial" w:hAnsi="Arial" w:cs="Arial"/>
                <w:sz w:val="20"/>
                <w:szCs w:val="20"/>
              </w:rPr>
              <w:t>Enquête Démographique et de Santé 2012-2013 (EDSM V)</w:t>
            </w:r>
          </w:p>
        </w:tc>
        <w:tc>
          <w:tcPr>
            <w:tcW w:w="2960" w:type="pct"/>
          </w:tcPr>
          <w:p w:rsidR="00D75DD5" w:rsidRPr="00662EE2" w:rsidRDefault="00D75DD5" w:rsidP="008A70CE">
            <w:pPr>
              <w:spacing w:after="0" w:line="312" w:lineRule="auto"/>
              <w:contextualSpacing/>
              <w:rPr>
                <w:rFonts w:ascii="Arial" w:hAnsi="Arial" w:cs="Arial"/>
                <w:sz w:val="20"/>
                <w:szCs w:val="20"/>
              </w:rPr>
            </w:pPr>
            <w:r w:rsidRPr="00662EE2">
              <w:rPr>
                <w:rFonts w:ascii="Arial" w:hAnsi="Arial" w:cs="Arial"/>
                <w:sz w:val="20"/>
                <w:szCs w:val="20"/>
              </w:rPr>
              <w:t>La clé RG (EDS) consiste répartir les dépenses de santé par région proportionnelles à celles des ménages. Elle est désagrégée par région. Par endroit, cette clé est restreinte à certaines lorsque la dépense ne les concerne pas toutes.</w:t>
            </w:r>
          </w:p>
        </w:tc>
      </w:tr>
      <w:tr w:rsidR="00D75DD5" w:rsidRPr="00662EE2" w:rsidTr="008A70CE">
        <w:trPr>
          <w:trHeight w:val="20"/>
          <w:tblHeader/>
        </w:trPr>
        <w:tc>
          <w:tcPr>
            <w:tcW w:w="1052"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Clé HC (EDS) ; Clé HC formation sanitaire central</w:t>
            </w:r>
          </w:p>
        </w:tc>
        <w:tc>
          <w:tcPr>
            <w:tcW w:w="988"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EDSM V</w:t>
            </w:r>
          </w:p>
          <w:p w:rsidR="00D75DD5" w:rsidRPr="00662EE2" w:rsidRDefault="00D75DD5" w:rsidP="008A70CE">
            <w:pPr>
              <w:spacing w:after="0" w:line="312" w:lineRule="auto"/>
              <w:jc w:val="left"/>
              <w:rPr>
                <w:rFonts w:ascii="Arial" w:hAnsi="Arial" w:cs="Arial"/>
                <w:sz w:val="20"/>
                <w:szCs w:val="20"/>
              </w:rPr>
            </w:pPr>
          </w:p>
        </w:tc>
        <w:tc>
          <w:tcPr>
            <w:tcW w:w="2960" w:type="pct"/>
          </w:tcPr>
          <w:p w:rsidR="00D75DD5" w:rsidRPr="00662EE2" w:rsidRDefault="00D75DD5" w:rsidP="008A70CE">
            <w:pPr>
              <w:spacing w:after="0" w:line="312" w:lineRule="auto"/>
              <w:rPr>
                <w:rFonts w:ascii="Arial" w:hAnsi="Arial" w:cs="Arial"/>
                <w:sz w:val="20"/>
                <w:szCs w:val="20"/>
              </w:rPr>
            </w:pPr>
            <w:r w:rsidRPr="00662EE2">
              <w:rPr>
                <w:rFonts w:ascii="Arial" w:hAnsi="Arial" w:cs="Arial"/>
                <w:sz w:val="20"/>
                <w:szCs w:val="20"/>
              </w:rPr>
              <w:t>La clé HC formation sanitaire consiste en une répartition des dépenses de santé consenties en formations sanitaires publiques proportionnellement aux dépenses des ménages. Elle est désagrégée par région. Pour l’allocation des dépenses en dehors de celle des ménages, il est élaboré la clé HC formation sanitaire ne prenant en compte les soins santé  fournies en formation sanitaires</w:t>
            </w:r>
          </w:p>
        </w:tc>
      </w:tr>
      <w:tr w:rsidR="00D75DD5" w:rsidRPr="00662EE2" w:rsidTr="008A70CE">
        <w:trPr>
          <w:trHeight w:val="20"/>
          <w:tblHeader/>
        </w:trPr>
        <w:tc>
          <w:tcPr>
            <w:tcW w:w="1052"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Clé FP (EDS) Kayes ; Clé FP formation sanitaire</w:t>
            </w:r>
          </w:p>
        </w:tc>
        <w:tc>
          <w:tcPr>
            <w:tcW w:w="988"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EDSM V</w:t>
            </w:r>
          </w:p>
        </w:tc>
        <w:tc>
          <w:tcPr>
            <w:tcW w:w="2960" w:type="pct"/>
          </w:tcPr>
          <w:p w:rsidR="00D75DD5" w:rsidRPr="00662EE2" w:rsidRDefault="00D75DD5" w:rsidP="008A70CE">
            <w:pPr>
              <w:spacing w:after="0" w:line="312" w:lineRule="auto"/>
              <w:rPr>
                <w:rFonts w:ascii="Arial" w:hAnsi="Arial" w:cs="Arial"/>
                <w:sz w:val="20"/>
                <w:szCs w:val="20"/>
              </w:rPr>
            </w:pPr>
            <w:r w:rsidRPr="00662EE2">
              <w:rPr>
                <w:rFonts w:ascii="Arial" w:hAnsi="Arial" w:cs="Arial"/>
                <w:sz w:val="20"/>
                <w:szCs w:val="20"/>
              </w:rPr>
              <w:t>La clé HC formation sanitaire consiste en une répartition des dépenses de santé consenties en formations sanitaires publiques proportionnelle</w:t>
            </w:r>
            <w:r w:rsidR="00C326AA" w:rsidRPr="00662EE2">
              <w:rPr>
                <w:rFonts w:ascii="Arial" w:hAnsi="Arial" w:cs="Arial"/>
                <w:sz w:val="20"/>
                <w:szCs w:val="20"/>
              </w:rPr>
              <w:t xml:space="preserve">ment aux dépenses des ménages. </w:t>
            </w:r>
            <w:r w:rsidRPr="00662EE2">
              <w:rPr>
                <w:rFonts w:ascii="Arial" w:hAnsi="Arial" w:cs="Arial"/>
                <w:sz w:val="20"/>
                <w:szCs w:val="20"/>
              </w:rPr>
              <w:t>Comme pour la clé HC, il est également fait une clé FP formation sanitaire et pour les mêmes raisons. Elle est désagrégée par région.</w:t>
            </w:r>
          </w:p>
        </w:tc>
      </w:tr>
      <w:tr w:rsidR="00D75DD5" w:rsidRPr="00662EE2" w:rsidTr="008A70CE">
        <w:trPr>
          <w:trHeight w:val="20"/>
          <w:tblHeader/>
        </w:trPr>
        <w:tc>
          <w:tcPr>
            <w:tcW w:w="1052"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Clé HP formation sanitaire, Clé HP privé ménage Sikasso ; Clé HP publique ménage, Clé HP privé ménage</w:t>
            </w:r>
          </w:p>
        </w:tc>
        <w:tc>
          <w:tcPr>
            <w:tcW w:w="988"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EDSM V</w:t>
            </w:r>
          </w:p>
        </w:tc>
        <w:tc>
          <w:tcPr>
            <w:tcW w:w="2960" w:type="pct"/>
          </w:tcPr>
          <w:p w:rsidR="00D75DD5" w:rsidRPr="00662EE2" w:rsidRDefault="00D75DD5" w:rsidP="008A70CE">
            <w:pPr>
              <w:spacing w:after="0" w:line="312" w:lineRule="auto"/>
              <w:rPr>
                <w:rFonts w:ascii="Arial" w:hAnsi="Arial" w:cs="Arial"/>
                <w:sz w:val="20"/>
                <w:szCs w:val="20"/>
              </w:rPr>
            </w:pPr>
            <w:r w:rsidRPr="00662EE2">
              <w:rPr>
                <w:rFonts w:ascii="Arial" w:hAnsi="Arial" w:cs="Arial"/>
                <w:sz w:val="20"/>
                <w:szCs w:val="20"/>
              </w:rPr>
              <w:t>La Clé HP consiste en une répartition proportionnellement aux dépenses de santé des ménages. Il est élaboré une clé HP formation sanitaire pour les mêmes raisons. Par ailleurs la clé HP publique ménage et la clé HP privé ménage sont spécifiques aux dépenses de santé des ménages.</w:t>
            </w:r>
          </w:p>
        </w:tc>
      </w:tr>
      <w:tr w:rsidR="00D75DD5" w:rsidRPr="00662EE2" w:rsidTr="008A70CE">
        <w:trPr>
          <w:trHeight w:val="20"/>
          <w:tblHeader/>
        </w:trPr>
        <w:tc>
          <w:tcPr>
            <w:tcW w:w="1052"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Clé AGE, Clé AGE VIH ; Clé AGE VIH milieu carcéral ; Clé AGE Tuberculose ; Clé AGE Paludisme </w:t>
            </w:r>
          </w:p>
        </w:tc>
        <w:tc>
          <w:tcPr>
            <w:tcW w:w="988" w:type="pct"/>
          </w:tcPr>
          <w:p w:rsidR="00D75DD5" w:rsidRPr="00662EE2" w:rsidRDefault="00D75DD5" w:rsidP="005C3393">
            <w:pPr>
              <w:spacing w:after="0" w:line="312" w:lineRule="auto"/>
              <w:jc w:val="left"/>
              <w:rPr>
                <w:rFonts w:ascii="Arial" w:hAnsi="Arial" w:cs="Arial"/>
                <w:sz w:val="20"/>
                <w:szCs w:val="20"/>
              </w:rPr>
            </w:pPr>
            <w:r w:rsidRPr="00662EE2">
              <w:rPr>
                <w:rFonts w:ascii="Arial" w:hAnsi="Arial" w:cs="Arial"/>
                <w:sz w:val="20"/>
                <w:szCs w:val="20"/>
              </w:rPr>
              <w:t>Système Local d’Information Sanitaire (SLIS) 201</w:t>
            </w:r>
            <w:r w:rsidR="005C3393">
              <w:rPr>
                <w:rFonts w:ascii="Arial" w:hAnsi="Arial" w:cs="Arial"/>
                <w:sz w:val="20"/>
                <w:szCs w:val="20"/>
              </w:rPr>
              <w:t>4</w:t>
            </w:r>
          </w:p>
        </w:tc>
        <w:tc>
          <w:tcPr>
            <w:tcW w:w="2960" w:type="pct"/>
          </w:tcPr>
          <w:p w:rsidR="00D75DD5" w:rsidRPr="00662EE2" w:rsidRDefault="00D75DD5" w:rsidP="008A70CE">
            <w:pPr>
              <w:spacing w:after="0" w:line="312" w:lineRule="auto"/>
              <w:rPr>
                <w:rFonts w:ascii="Arial" w:hAnsi="Arial" w:cs="Arial"/>
                <w:sz w:val="20"/>
                <w:szCs w:val="20"/>
              </w:rPr>
            </w:pPr>
            <w:r w:rsidRPr="00662EE2">
              <w:rPr>
                <w:rFonts w:ascii="Arial" w:hAnsi="Arial" w:cs="Arial"/>
                <w:sz w:val="20"/>
                <w:szCs w:val="20"/>
              </w:rPr>
              <w:t>La clé de répartition par âge consiste en une allocation proportionnellement  aux consultations effectuées pour chaque groupe d’âge. Cette clé est répartie pour quelques programmes de santé.</w:t>
            </w:r>
          </w:p>
        </w:tc>
      </w:tr>
      <w:tr w:rsidR="00D75DD5" w:rsidRPr="00662EE2" w:rsidTr="008A70CE">
        <w:trPr>
          <w:trHeight w:val="20"/>
          <w:tblHeader/>
        </w:trPr>
        <w:tc>
          <w:tcPr>
            <w:tcW w:w="1052"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 xml:space="preserve">Clé DIS </w:t>
            </w:r>
          </w:p>
        </w:tc>
        <w:tc>
          <w:tcPr>
            <w:tcW w:w="988" w:type="pct"/>
          </w:tcPr>
          <w:p w:rsidR="00D75DD5" w:rsidRPr="00662EE2" w:rsidRDefault="00D75DD5" w:rsidP="005C3393">
            <w:pPr>
              <w:spacing w:after="0" w:line="312" w:lineRule="auto"/>
              <w:jc w:val="left"/>
              <w:rPr>
                <w:rFonts w:ascii="Arial" w:hAnsi="Arial" w:cs="Arial"/>
                <w:sz w:val="20"/>
                <w:szCs w:val="20"/>
              </w:rPr>
            </w:pPr>
            <w:r w:rsidRPr="00662EE2">
              <w:rPr>
                <w:rFonts w:ascii="Arial" w:hAnsi="Arial" w:cs="Arial"/>
                <w:sz w:val="20"/>
                <w:szCs w:val="20"/>
              </w:rPr>
              <w:t>SLIS 201</w:t>
            </w:r>
            <w:r w:rsidR="005C3393">
              <w:rPr>
                <w:rFonts w:ascii="Arial" w:hAnsi="Arial" w:cs="Arial"/>
                <w:sz w:val="20"/>
                <w:szCs w:val="20"/>
              </w:rPr>
              <w:t>4</w:t>
            </w:r>
          </w:p>
        </w:tc>
        <w:tc>
          <w:tcPr>
            <w:tcW w:w="2960" w:type="pct"/>
          </w:tcPr>
          <w:p w:rsidR="00D75DD5" w:rsidRPr="00662EE2" w:rsidRDefault="00D75DD5" w:rsidP="008A70CE">
            <w:pPr>
              <w:spacing w:after="0" w:line="312" w:lineRule="auto"/>
              <w:rPr>
                <w:rFonts w:ascii="Arial" w:hAnsi="Arial" w:cs="Arial"/>
                <w:sz w:val="20"/>
                <w:szCs w:val="20"/>
              </w:rPr>
            </w:pPr>
            <w:r w:rsidRPr="00662EE2">
              <w:rPr>
                <w:rFonts w:ascii="Arial" w:hAnsi="Arial" w:cs="Arial"/>
                <w:sz w:val="20"/>
                <w:szCs w:val="20"/>
              </w:rPr>
              <w:t>La clé de répartition par maladie consiste à une allocation proportionnellement  aux consultations effectuées pour chaque maladie.</w:t>
            </w:r>
          </w:p>
        </w:tc>
      </w:tr>
    </w:tbl>
    <w:tbl>
      <w:tblPr>
        <w:tblStyle w:val="Grilledutableau"/>
        <w:tblpPr w:leftFromText="141" w:rightFromText="141" w:vertAnchor="page" w:horzAnchor="margin" w:tblpY="1606"/>
        <w:tblW w:w="5000" w:type="pct"/>
        <w:tblLook w:val="04A0"/>
      </w:tblPr>
      <w:tblGrid>
        <w:gridCol w:w="2782"/>
        <w:gridCol w:w="2613"/>
        <w:gridCol w:w="7827"/>
      </w:tblGrid>
      <w:tr w:rsidR="00960834" w:rsidRPr="00662EE2" w:rsidTr="00960834">
        <w:trPr>
          <w:trHeight w:val="20"/>
          <w:tblHeader/>
        </w:trPr>
        <w:tc>
          <w:tcPr>
            <w:tcW w:w="1052" w:type="pct"/>
          </w:tcPr>
          <w:p w:rsidR="00960834" w:rsidRPr="00662EE2" w:rsidRDefault="00960834" w:rsidP="00960834">
            <w:pPr>
              <w:spacing w:after="0" w:line="312" w:lineRule="auto"/>
              <w:contextualSpacing/>
              <w:rPr>
                <w:rFonts w:ascii="Arial" w:hAnsi="Arial" w:cs="Arial"/>
                <w:b/>
                <w:sz w:val="20"/>
                <w:szCs w:val="20"/>
              </w:rPr>
            </w:pPr>
            <w:r w:rsidRPr="00662EE2">
              <w:rPr>
                <w:rFonts w:ascii="Arial" w:hAnsi="Arial" w:cs="Arial"/>
                <w:b/>
                <w:sz w:val="20"/>
                <w:szCs w:val="20"/>
              </w:rPr>
              <w:t>Clé de répartition</w:t>
            </w:r>
          </w:p>
        </w:tc>
        <w:tc>
          <w:tcPr>
            <w:tcW w:w="988" w:type="pct"/>
          </w:tcPr>
          <w:p w:rsidR="00960834" w:rsidRPr="00662EE2" w:rsidRDefault="00960834" w:rsidP="00960834">
            <w:pPr>
              <w:spacing w:after="0" w:line="312" w:lineRule="auto"/>
              <w:contextualSpacing/>
              <w:rPr>
                <w:rFonts w:ascii="Arial" w:hAnsi="Arial" w:cs="Arial"/>
                <w:b/>
                <w:sz w:val="20"/>
                <w:szCs w:val="20"/>
              </w:rPr>
            </w:pPr>
            <w:r w:rsidRPr="00662EE2">
              <w:rPr>
                <w:rFonts w:ascii="Arial" w:hAnsi="Arial" w:cs="Arial"/>
                <w:b/>
                <w:sz w:val="20"/>
                <w:szCs w:val="20"/>
              </w:rPr>
              <w:t>Source de données</w:t>
            </w:r>
          </w:p>
        </w:tc>
        <w:tc>
          <w:tcPr>
            <w:tcW w:w="2960" w:type="pct"/>
          </w:tcPr>
          <w:p w:rsidR="00960834" w:rsidRPr="00662EE2" w:rsidRDefault="00960834" w:rsidP="00960834">
            <w:pPr>
              <w:spacing w:after="0" w:line="312" w:lineRule="auto"/>
              <w:contextualSpacing/>
              <w:rPr>
                <w:rFonts w:ascii="Arial" w:hAnsi="Arial" w:cs="Arial"/>
                <w:b/>
                <w:sz w:val="20"/>
                <w:szCs w:val="20"/>
              </w:rPr>
            </w:pPr>
            <w:r w:rsidRPr="00662EE2">
              <w:rPr>
                <w:rFonts w:ascii="Arial" w:hAnsi="Arial" w:cs="Arial"/>
                <w:b/>
                <w:sz w:val="20"/>
                <w:szCs w:val="20"/>
              </w:rPr>
              <w:t>Définition Méthodologie</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HC EPH</w:t>
            </w:r>
          </w:p>
        </w:tc>
        <w:tc>
          <w:tcPr>
            <w:tcW w:w="988" w:type="pct"/>
          </w:tcPr>
          <w:p w:rsidR="00960834" w:rsidRPr="00662EE2" w:rsidRDefault="00960834" w:rsidP="005C3393">
            <w:pPr>
              <w:spacing w:after="0" w:line="312" w:lineRule="auto"/>
              <w:jc w:val="left"/>
              <w:rPr>
                <w:rFonts w:ascii="Arial" w:hAnsi="Arial" w:cs="Arial"/>
                <w:sz w:val="20"/>
                <w:szCs w:val="20"/>
              </w:rPr>
            </w:pPr>
            <w:r w:rsidRPr="00662EE2">
              <w:rPr>
                <w:rFonts w:ascii="Arial" w:hAnsi="Arial" w:cs="Arial"/>
                <w:sz w:val="20"/>
                <w:szCs w:val="20"/>
              </w:rPr>
              <w:t>Système d’Information Hospitalier (SIH), 201</w:t>
            </w:r>
            <w:r w:rsidR="005C3393">
              <w:rPr>
                <w:rFonts w:ascii="Arial" w:hAnsi="Arial" w:cs="Arial"/>
                <w:sz w:val="20"/>
                <w:szCs w:val="20"/>
              </w:rPr>
              <w:t>4</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Cette clé consiste en une répartition entre soins hospitaliers et ambulatoires proportionnellement aux consultations dans les hôpitaux nationaux et régionaux.</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HC CSREF</w:t>
            </w:r>
          </w:p>
        </w:tc>
        <w:tc>
          <w:tcPr>
            <w:tcW w:w="988" w:type="pct"/>
          </w:tcPr>
          <w:p w:rsidR="00960834" w:rsidRPr="00662EE2" w:rsidRDefault="00960834" w:rsidP="005C3393">
            <w:pPr>
              <w:spacing w:after="0" w:line="312" w:lineRule="auto"/>
              <w:jc w:val="left"/>
              <w:rPr>
                <w:rFonts w:ascii="Arial" w:hAnsi="Arial" w:cs="Arial"/>
                <w:sz w:val="20"/>
                <w:szCs w:val="20"/>
              </w:rPr>
            </w:pPr>
            <w:r w:rsidRPr="00662EE2">
              <w:rPr>
                <w:rFonts w:ascii="Arial" w:hAnsi="Arial" w:cs="Arial"/>
                <w:sz w:val="20"/>
                <w:szCs w:val="20"/>
              </w:rPr>
              <w:t>SLIS 201</w:t>
            </w:r>
            <w:r w:rsidR="005C3393">
              <w:rPr>
                <w:rFonts w:ascii="Arial" w:hAnsi="Arial" w:cs="Arial"/>
                <w:sz w:val="20"/>
                <w:szCs w:val="20"/>
              </w:rPr>
              <w:t>4</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Cette clé consiste en une répartition entre soins hospitaliers et ambulatoires proportionnellement aux consultations dans l’ensemble des CSREF.</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HC CNOS</w:t>
            </w:r>
          </w:p>
        </w:tc>
        <w:tc>
          <w:tcPr>
            <w:tcW w:w="988" w:type="pct"/>
          </w:tcPr>
          <w:p w:rsidR="00960834" w:rsidRPr="00662EE2" w:rsidRDefault="00960834" w:rsidP="005C3393">
            <w:pPr>
              <w:spacing w:after="0" w:line="312" w:lineRule="auto"/>
              <w:jc w:val="left"/>
              <w:rPr>
                <w:rFonts w:ascii="Arial" w:hAnsi="Arial" w:cs="Arial"/>
                <w:sz w:val="20"/>
                <w:szCs w:val="20"/>
              </w:rPr>
            </w:pPr>
            <w:r w:rsidRPr="00662EE2">
              <w:rPr>
                <w:rFonts w:ascii="Arial" w:hAnsi="Arial" w:cs="Arial"/>
                <w:sz w:val="20"/>
                <w:szCs w:val="20"/>
              </w:rPr>
              <w:t>SIH 201</w:t>
            </w:r>
            <w:r w:rsidR="005C3393">
              <w:rPr>
                <w:rFonts w:ascii="Arial" w:hAnsi="Arial" w:cs="Arial"/>
                <w:sz w:val="20"/>
                <w:szCs w:val="20"/>
              </w:rPr>
              <w:t>4</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Cette clé consiste en une répartition entre soins hospitaliers et ambulatoires proportionnellement aux consultations au CHU-CNOS.</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HC IOTA</w:t>
            </w:r>
          </w:p>
        </w:tc>
        <w:tc>
          <w:tcPr>
            <w:tcW w:w="988" w:type="pct"/>
          </w:tcPr>
          <w:p w:rsidR="00960834" w:rsidRPr="00662EE2" w:rsidRDefault="00960834" w:rsidP="005C3393">
            <w:pPr>
              <w:spacing w:after="0" w:line="312" w:lineRule="auto"/>
              <w:jc w:val="left"/>
              <w:rPr>
                <w:rFonts w:ascii="Arial" w:hAnsi="Arial" w:cs="Arial"/>
                <w:sz w:val="20"/>
                <w:szCs w:val="20"/>
              </w:rPr>
            </w:pPr>
            <w:r w:rsidRPr="00662EE2">
              <w:rPr>
                <w:rFonts w:ascii="Arial" w:hAnsi="Arial" w:cs="Arial"/>
                <w:sz w:val="20"/>
                <w:szCs w:val="20"/>
              </w:rPr>
              <w:t>SIH 201</w:t>
            </w:r>
            <w:r w:rsidR="005C3393">
              <w:rPr>
                <w:rFonts w:ascii="Arial" w:hAnsi="Arial" w:cs="Arial"/>
                <w:sz w:val="20"/>
                <w:szCs w:val="20"/>
              </w:rPr>
              <w:t>4</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Cette clé consiste en une répartition entre soins hospitaliers et ambulatoires proportionnellement aux consultations au CNOS.</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DIS IOTA</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SIH 2011</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Cette clé consiste en une répartition des dépenses proportionnellement aux motifs de consultations à l’IOTA.</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FP FBR CSCOM ; Clé FP FBR CSREF</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Procédure du Financement Basé sur les Résultats (FBR)</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Répartition faite par le bailleur bailleurs.</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FS CANAM</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Cotisations des employeurs et de l’Etat pour l’Assurance Maladie Obligatoire (AMO)</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La clé consiste à répartir certaines dépenses de la CANAM entre “Cotisations d'assurance sociale venant des employés“ et “ Cotisations d'assurance sociale venant des employeurs“ proportionnellement aux cotisations.</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FS.RI CANAM</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Cotisations des employeurs et de l’Etat pour l’Assurance Maladie Obligatoire (AMO)</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La clé consiste à répartir certaines dépenses de la CANAM entre les ménages et l’Administration publique proportionnellement aux cotisations.</w:t>
            </w:r>
          </w:p>
        </w:tc>
      </w:tr>
    </w:tbl>
    <w:p w:rsidR="008A70CE" w:rsidRDefault="008A70CE"/>
    <w:p w:rsidR="008A70CE" w:rsidRDefault="008A70CE" w:rsidP="00DE5EDA">
      <w:pPr>
        <w:pStyle w:val="Lgende"/>
        <w:ind w:left="1701" w:hanging="1701"/>
        <w:rPr>
          <w:color w:val="000000" w:themeColor="text1"/>
          <w:sz w:val="22"/>
          <w:szCs w:val="22"/>
        </w:rPr>
      </w:pPr>
    </w:p>
    <w:p w:rsidR="008A70CE" w:rsidRDefault="008A70CE" w:rsidP="00DE5EDA">
      <w:pPr>
        <w:pStyle w:val="Lgende"/>
        <w:ind w:left="1701" w:hanging="1701"/>
        <w:rPr>
          <w:color w:val="000000" w:themeColor="text1"/>
          <w:sz w:val="22"/>
          <w:szCs w:val="22"/>
        </w:rPr>
      </w:pPr>
    </w:p>
    <w:p w:rsidR="00A86284" w:rsidRDefault="00A86284">
      <w:pPr>
        <w:autoSpaceDE/>
        <w:autoSpaceDN/>
        <w:adjustRightInd/>
        <w:spacing w:after="200" w:line="276" w:lineRule="auto"/>
        <w:jc w:val="left"/>
        <w:rPr>
          <w:i/>
          <w:iCs/>
          <w:color w:val="000000" w:themeColor="text1"/>
          <w:sz w:val="22"/>
          <w:szCs w:val="22"/>
        </w:rPr>
      </w:pPr>
      <w:r>
        <w:rPr>
          <w:color w:val="000000" w:themeColor="text1"/>
          <w:sz w:val="22"/>
          <w:szCs w:val="22"/>
        </w:rPr>
        <w:br w:type="page"/>
      </w:r>
    </w:p>
    <w:p w:rsidR="008D4B46" w:rsidRPr="001F60CF" w:rsidRDefault="00DE5EDA" w:rsidP="00DE5EDA">
      <w:pPr>
        <w:pStyle w:val="Lgende"/>
        <w:ind w:left="1701" w:hanging="1701"/>
        <w:rPr>
          <w:color w:val="000000" w:themeColor="text1"/>
          <w:sz w:val="22"/>
          <w:szCs w:val="22"/>
        </w:rPr>
      </w:pPr>
      <w:bookmarkStart w:id="110" w:name="_Toc418858335"/>
      <w:r w:rsidRPr="001F60CF">
        <w:rPr>
          <w:color w:val="000000" w:themeColor="text1"/>
          <w:sz w:val="22"/>
          <w:szCs w:val="22"/>
        </w:rPr>
        <w:t xml:space="preserve">Tableau annexe </w:t>
      </w:r>
      <w:r w:rsidR="00E72F8E" w:rsidRPr="001F60CF">
        <w:rPr>
          <w:color w:val="000000" w:themeColor="text1"/>
          <w:sz w:val="22"/>
          <w:szCs w:val="22"/>
        </w:rPr>
        <w:fldChar w:fldCharType="begin"/>
      </w:r>
      <w:r w:rsidRPr="001F60CF">
        <w:rPr>
          <w:color w:val="000000" w:themeColor="text1"/>
          <w:sz w:val="22"/>
          <w:szCs w:val="22"/>
        </w:rPr>
        <w:instrText xml:space="preserve"> SEQ Tableau_annexe \* ARABIC </w:instrText>
      </w:r>
      <w:r w:rsidR="00E72F8E" w:rsidRPr="001F60CF">
        <w:rPr>
          <w:color w:val="000000" w:themeColor="text1"/>
          <w:sz w:val="22"/>
          <w:szCs w:val="22"/>
        </w:rPr>
        <w:fldChar w:fldCharType="separate"/>
      </w:r>
      <w:r w:rsidR="00E65EDB">
        <w:rPr>
          <w:noProof/>
          <w:color w:val="000000" w:themeColor="text1"/>
          <w:sz w:val="22"/>
          <w:szCs w:val="22"/>
        </w:rPr>
        <w:t>2</w:t>
      </w:r>
      <w:r w:rsidR="00E72F8E" w:rsidRPr="001F60CF">
        <w:rPr>
          <w:color w:val="000000" w:themeColor="text1"/>
          <w:sz w:val="22"/>
          <w:szCs w:val="22"/>
        </w:rPr>
        <w:fldChar w:fldCharType="end"/>
      </w:r>
      <w:r w:rsidR="00D95DBC" w:rsidRPr="001F60CF">
        <w:rPr>
          <w:color w:val="000000" w:themeColor="text1"/>
          <w:sz w:val="22"/>
          <w:szCs w:val="22"/>
        </w:rPr>
        <w:t xml:space="preserve">: Répartition des </w:t>
      </w:r>
      <w:r w:rsidR="00C869FC">
        <w:rPr>
          <w:color w:val="000000" w:themeColor="text1"/>
          <w:sz w:val="22"/>
          <w:szCs w:val="22"/>
        </w:rPr>
        <w:t>dépenses courantes de santé</w:t>
      </w:r>
      <w:r w:rsidR="00D95DBC" w:rsidRPr="001F60CF">
        <w:rPr>
          <w:color w:val="000000" w:themeColor="text1"/>
          <w:sz w:val="22"/>
          <w:szCs w:val="22"/>
        </w:rPr>
        <w:t xml:space="preserve"> sel</w:t>
      </w:r>
      <w:r w:rsidR="009844A2" w:rsidRPr="001F60CF">
        <w:rPr>
          <w:color w:val="000000" w:themeColor="text1"/>
          <w:sz w:val="22"/>
          <w:szCs w:val="22"/>
        </w:rPr>
        <w:t>on les régimes de financement</w:t>
      </w:r>
      <w:r w:rsidR="00D95DBC" w:rsidRPr="001F60CF">
        <w:rPr>
          <w:color w:val="000000" w:themeColor="text1"/>
          <w:sz w:val="22"/>
          <w:szCs w:val="22"/>
        </w:rPr>
        <w:t xml:space="preserve"> et les recettes</w:t>
      </w:r>
      <w:r w:rsidR="009844A2" w:rsidRPr="001F60CF">
        <w:rPr>
          <w:color w:val="000000" w:themeColor="text1"/>
          <w:sz w:val="22"/>
          <w:szCs w:val="22"/>
        </w:rPr>
        <w:t xml:space="preserve"> des régimes de financement</w:t>
      </w:r>
      <w:r w:rsidR="00D95DBC" w:rsidRPr="001F60CF">
        <w:rPr>
          <w:color w:val="000000" w:themeColor="text1"/>
          <w:sz w:val="22"/>
          <w:szCs w:val="22"/>
        </w:rPr>
        <w:t xml:space="preserve"> en francs CFA</w:t>
      </w:r>
      <w:bookmarkEnd w:id="110"/>
    </w:p>
    <w:tbl>
      <w:tblPr>
        <w:tblW w:w="5000" w:type="pct"/>
        <w:tblCellMar>
          <w:left w:w="70" w:type="dxa"/>
          <w:right w:w="70" w:type="dxa"/>
        </w:tblCellMar>
        <w:tblLook w:val="04A0"/>
      </w:tblPr>
      <w:tblGrid>
        <w:gridCol w:w="1136"/>
        <w:gridCol w:w="1559"/>
        <w:gridCol w:w="1559"/>
        <w:gridCol w:w="1559"/>
        <w:gridCol w:w="1099"/>
        <w:gridCol w:w="1475"/>
        <w:gridCol w:w="1683"/>
        <w:gridCol w:w="1683"/>
        <w:gridCol w:w="1393"/>
      </w:tblGrid>
      <w:tr w:rsidR="002C24F7" w:rsidRPr="002C24F7" w:rsidTr="002C24F7">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bookmarkStart w:id="111" w:name="_Toc418858336"/>
            <w:r w:rsidRPr="002C24F7">
              <w:rPr>
                <w:rFonts w:ascii="Arial Unicode MS" w:eastAsia="Arial Unicode MS" w:hAnsi="Arial Unicode MS" w:cs="Arial Unicode MS" w:hint="eastAsia"/>
                <w:b/>
                <w:sz w:val="16"/>
                <w:szCs w:val="16"/>
                <w:lang w:eastAsia="fr-FR"/>
              </w:rPr>
              <w:t>Recettes des régimes de financement des soins de santé</w:t>
            </w:r>
          </w:p>
        </w:tc>
      </w:tr>
      <w:tr w:rsidR="002C24F7" w:rsidRPr="002C24F7" w:rsidTr="002C24F7">
        <w:trPr>
          <w:trHeight w:val="1530"/>
        </w:trPr>
        <w:tc>
          <w:tcPr>
            <w:tcW w:w="612" w:type="pct"/>
            <w:tcBorders>
              <w:top w:val="nil"/>
              <w:left w:val="single" w:sz="4" w:space="0" w:color="auto"/>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Régimes de financement</w:t>
            </w:r>
          </w:p>
        </w:tc>
        <w:tc>
          <w:tcPr>
            <w:tcW w:w="561" w:type="pct"/>
            <w:tcBorders>
              <w:top w:val="nil"/>
              <w:left w:val="nil"/>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Transferts issus des revenus nationaux de l'administration publique (alloués à la santé)</w:t>
            </w:r>
          </w:p>
        </w:tc>
        <w:tc>
          <w:tcPr>
            <w:tcW w:w="561" w:type="pct"/>
            <w:tcBorders>
              <w:top w:val="nil"/>
              <w:left w:val="nil"/>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Transferts d'origine étrangère distribués par l'administration publique</w:t>
            </w:r>
          </w:p>
        </w:tc>
        <w:tc>
          <w:tcPr>
            <w:tcW w:w="561" w:type="pct"/>
            <w:tcBorders>
              <w:top w:val="nil"/>
              <w:left w:val="nil"/>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Cotisations d'assurance sociale</w:t>
            </w:r>
          </w:p>
        </w:tc>
        <w:tc>
          <w:tcPr>
            <w:tcW w:w="404" w:type="pct"/>
            <w:tcBorders>
              <w:top w:val="nil"/>
              <w:left w:val="nil"/>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Prépaiement obligatoire (autres que FS.3)</w:t>
            </w:r>
          </w:p>
        </w:tc>
        <w:tc>
          <w:tcPr>
            <w:tcW w:w="523" w:type="pct"/>
            <w:tcBorders>
              <w:top w:val="nil"/>
              <w:left w:val="nil"/>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Prépaiement volontaire</w:t>
            </w:r>
          </w:p>
        </w:tc>
        <w:tc>
          <w:tcPr>
            <w:tcW w:w="593" w:type="pct"/>
            <w:tcBorders>
              <w:top w:val="nil"/>
              <w:left w:val="nil"/>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Autres revenus nationaux n.c.a.</w:t>
            </w:r>
          </w:p>
        </w:tc>
        <w:tc>
          <w:tcPr>
            <w:tcW w:w="593" w:type="pct"/>
            <w:tcBorders>
              <w:top w:val="nil"/>
              <w:left w:val="nil"/>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Transferts directs étrangers</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r>
      <w:tr w:rsidR="002C24F7" w:rsidRPr="002C24F7" w:rsidTr="002C24F7">
        <w:trPr>
          <w:trHeight w:val="51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Régimes de l'administration publique et régimes contributifs obligatoires de financement de la santé</w:t>
            </w:r>
          </w:p>
        </w:tc>
      </w:tr>
      <w:tr w:rsidR="002C24F7" w:rsidRPr="002C24F7" w:rsidTr="002C24F7">
        <w:trPr>
          <w:trHeight w:val="510"/>
        </w:trPr>
        <w:tc>
          <w:tcPr>
            <w:tcW w:w="612" w:type="pct"/>
            <w:tcBorders>
              <w:top w:val="nil"/>
              <w:left w:val="single" w:sz="4" w:space="0" w:color="auto"/>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Régimes de l'administration publique</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50 776 402 533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39 231 606 164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404"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2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90 008 008 697   </w:t>
            </w:r>
          </w:p>
        </w:tc>
      </w:tr>
      <w:tr w:rsidR="002C24F7" w:rsidRPr="002C24F7" w:rsidTr="002C24F7">
        <w:trPr>
          <w:trHeight w:val="765"/>
        </w:trPr>
        <w:tc>
          <w:tcPr>
            <w:tcW w:w="612" w:type="pct"/>
            <w:tcBorders>
              <w:top w:val="nil"/>
              <w:left w:val="single" w:sz="4" w:space="0" w:color="auto"/>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Régimes contributifs obligatoires de financement de la santé</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72 053 000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12 241 092 505   </w:t>
            </w:r>
          </w:p>
        </w:tc>
        <w:tc>
          <w:tcPr>
            <w:tcW w:w="404"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8 414 208   </w:t>
            </w:r>
          </w:p>
        </w:tc>
        <w:tc>
          <w:tcPr>
            <w:tcW w:w="52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12 321 559 713   </w:t>
            </w:r>
          </w:p>
        </w:tc>
      </w:tr>
      <w:tr w:rsidR="002C24F7" w:rsidRPr="002C24F7" w:rsidTr="002C24F7">
        <w:trPr>
          <w:trHeight w:val="30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Régimes volontaire de paiement privé des soins de santé</w:t>
            </w:r>
          </w:p>
        </w:tc>
      </w:tr>
      <w:tr w:rsidR="002C24F7" w:rsidRPr="002C24F7" w:rsidTr="002C24F7">
        <w:trPr>
          <w:trHeight w:val="510"/>
        </w:trPr>
        <w:tc>
          <w:tcPr>
            <w:tcW w:w="612" w:type="pct"/>
            <w:tcBorders>
              <w:top w:val="nil"/>
              <w:left w:val="single" w:sz="4" w:space="0" w:color="auto"/>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Régimes d'assurance maladie facultative</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117 552 780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404"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2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3 052 225 866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100 500 710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3 270 279 356   </w:t>
            </w:r>
          </w:p>
        </w:tc>
      </w:tr>
      <w:tr w:rsidR="002C24F7" w:rsidRPr="002C24F7" w:rsidTr="002C24F7">
        <w:trPr>
          <w:trHeight w:val="1020"/>
        </w:trPr>
        <w:tc>
          <w:tcPr>
            <w:tcW w:w="612" w:type="pct"/>
            <w:tcBorders>
              <w:top w:val="nil"/>
              <w:left w:val="single" w:sz="4" w:space="0" w:color="auto"/>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Systèmes de financement des ISBLSM (y compris les agences de dévelopement)</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404"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2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63 266 290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105 360 680 762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105 423 947 052   </w:t>
            </w:r>
          </w:p>
        </w:tc>
      </w:tr>
      <w:tr w:rsidR="002C24F7" w:rsidRPr="002C24F7" w:rsidTr="002C24F7">
        <w:trPr>
          <w:trHeight w:val="510"/>
        </w:trPr>
        <w:tc>
          <w:tcPr>
            <w:tcW w:w="612" w:type="pct"/>
            <w:tcBorders>
              <w:top w:val="nil"/>
              <w:left w:val="single" w:sz="4" w:space="0" w:color="auto"/>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Régimes de financement des entreprises</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404"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2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9 575 365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1 242 977 144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1 252 552 509   </w:t>
            </w:r>
          </w:p>
        </w:tc>
      </w:tr>
      <w:tr w:rsidR="002C24F7" w:rsidRPr="002C24F7" w:rsidTr="002C24F7">
        <w:trPr>
          <w:trHeight w:val="30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C24F7" w:rsidRPr="002C24F7" w:rsidRDefault="002C24F7" w:rsidP="002C24F7">
            <w:pPr>
              <w:autoSpaceDE/>
              <w:autoSpaceDN/>
              <w:adjustRightInd/>
              <w:spacing w:after="0" w:line="240" w:lineRule="auto"/>
              <w:jc w:val="center"/>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Paiement direct des ménages</w:t>
            </w:r>
          </w:p>
        </w:tc>
      </w:tr>
      <w:tr w:rsidR="002C24F7" w:rsidRPr="002C24F7" w:rsidTr="002C24F7">
        <w:trPr>
          <w:trHeight w:val="510"/>
        </w:trPr>
        <w:tc>
          <w:tcPr>
            <w:tcW w:w="612" w:type="pct"/>
            <w:tcBorders>
              <w:top w:val="nil"/>
              <w:left w:val="single" w:sz="4" w:space="0" w:color="auto"/>
              <w:bottom w:val="single" w:sz="4" w:space="0" w:color="auto"/>
              <w:right w:val="single" w:sz="4" w:space="0" w:color="auto"/>
            </w:tcBorders>
            <w:shd w:val="clear" w:color="auto" w:fill="auto"/>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Paiement direct sans partage de coûts</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404"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2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2C24F7">
              <w:rPr>
                <w:rFonts w:ascii="Arial Unicode MS" w:eastAsia="Arial Unicode MS" w:hAnsi="Arial Unicode MS" w:cs="Arial Unicode MS" w:hint="eastAsia"/>
                <w:bCs w:val="0"/>
                <w:sz w:val="16"/>
                <w:szCs w:val="16"/>
                <w:lang w:eastAsia="fr-FR"/>
              </w:rPr>
              <w:t xml:space="preserve">          189 034 029 628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189 034 029 628   </w:t>
            </w:r>
          </w:p>
        </w:tc>
      </w:tr>
      <w:tr w:rsidR="002C24F7" w:rsidRPr="002C24F7" w:rsidTr="002C24F7">
        <w:trPr>
          <w:trHeight w:val="300"/>
        </w:trPr>
        <w:tc>
          <w:tcPr>
            <w:tcW w:w="612" w:type="pct"/>
            <w:tcBorders>
              <w:top w:val="nil"/>
              <w:left w:val="single" w:sz="4" w:space="0" w:color="auto"/>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lef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Total</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50 966 008 313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39 231 606 164   </w:t>
            </w:r>
          </w:p>
        </w:tc>
        <w:tc>
          <w:tcPr>
            <w:tcW w:w="561"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12 241 092 505   </w:t>
            </w:r>
          </w:p>
        </w:tc>
        <w:tc>
          <w:tcPr>
            <w:tcW w:w="404"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8 414 208   </w:t>
            </w:r>
          </w:p>
        </w:tc>
        <w:tc>
          <w:tcPr>
            <w:tcW w:w="52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3 061 801 231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190 440 773 772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105 360 680 762   </w:t>
            </w:r>
          </w:p>
        </w:tc>
        <w:tc>
          <w:tcPr>
            <w:tcW w:w="593" w:type="pct"/>
            <w:tcBorders>
              <w:top w:val="nil"/>
              <w:left w:val="nil"/>
              <w:bottom w:val="single" w:sz="4" w:space="0" w:color="auto"/>
              <w:right w:val="single" w:sz="4" w:space="0" w:color="auto"/>
            </w:tcBorders>
            <w:shd w:val="clear" w:color="auto" w:fill="auto"/>
            <w:noWrap/>
            <w:vAlign w:val="center"/>
            <w:hideMark/>
          </w:tcPr>
          <w:p w:rsidR="002C24F7" w:rsidRPr="002C24F7" w:rsidRDefault="002C24F7" w:rsidP="002C24F7">
            <w:pPr>
              <w:autoSpaceDE/>
              <w:autoSpaceDN/>
              <w:adjustRightInd/>
              <w:spacing w:after="0" w:line="240" w:lineRule="auto"/>
              <w:jc w:val="right"/>
              <w:rPr>
                <w:rFonts w:ascii="Arial Unicode MS" w:eastAsia="Arial Unicode MS" w:hAnsi="Arial Unicode MS" w:cs="Arial Unicode MS"/>
                <w:b/>
                <w:sz w:val="16"/>
                <w:szCs w:val="16"/>
                <w:lang w:eastAsia="fr-FR"/>
              </w:rPr>
            </w:pPr>
            <w:r w:rsidRPr="002C24F7">
              <w:rPr>
                <w:rFonts w:ascii="Arial Unicode MS" w:eastAsia="Arial Unicode MS" w:hAnsi="Arial Unicode MS" w:cs="Arial Unicode MS" w:hint="eastAsia"/>
                <w:b/>
                <w:sz w:val="16"/>
                <w:szCs w:val="16"/>
                <w:lang w:eastAsia="fr-FR"/>
              </w:rPr>
              <w:t xml:space="preserve">   401 310 376 956   </w:t>
            </w:r>
          </w:p>
        </w:tc>
      </w:tr>
    </w:tbl>
    <w:p w:rsidR="002C24F7" w:rsidRDefault="002C24F7" w:rsidP="00960834">
      <w:pPr>
        <w:pStyle w:val="Lgende"/>
        <w:ind w:left="1701" w:hanging="1701"/>
        <w:rPr>
          <w:color w:val="000000" w:themeColor="text1"/>
          <w:sz w:val="22"/>
          <w:szCs w:val="22"/>
        </w:rPr>
      </w:pPr>
    </w:p>
    <w:p w:rsidR="001B67B0" w:rsidRPr="001F60CF" w:rsidRDefault="001F60CF" w:rsidP="00960834">
      <w:pPr>
        <w:pStyle w:val="Lgende"/>
        <w:ind w:left="1701" w:hanging="1701"/>
        <w:rPr>
          <w:color w:val="000000" w:themeColor="text1"/>
          <w:sz w:val="22"/>
          <w:szCs w:val="22"/>
        </w:rPr>
      </w:pPr>
      <w:r w:rsidRPr="001F60CF">
        <w:rPr>
          <w:color w:val="000000" w:themeColor="text1"/>
          <w:sz w:val="22"/>
          <w:szCs w:val="22"/>
        </w:rPr>
        <w:t xml:space="preserve">Tableau annexe </w:t>
      </w:r>
      <w:r w:rsidR="00E72F8E" w:rsidRPr="001F60CF">
        <w:rPr>
          <w:color w:val="000000" w:themeColor="text1"/>
          <w:sz w:val="22"/>
          <w:szCs w:val="22"/>
        </w:rPr>
        <w:fldChar w:fldCharType="begin"/>
      </w:r>
      <w:r w:rsidRPr="001F60CF">
        <w:rPr>
          <w:color w:val="000000" w:themeColor="text1"/>
          <w:sz w:val="22"/>
          <w:szCs w:val="22"/>
        </w:rPr>
        <w:instrText xml:space="preserve"> SEQ Tableau_annexe \* ARABIC </w:instrText>
      </w:r>
      <w:r w:rsidR="00E72F8E" w:rsidRPr="001F60CF">
        <w:rPr>
          <w:color w:val="000000" w:themeColor="text1"/>
          <w:sz w:val="22"/>
          <w:szCs w:val="22"/>
        </w:rPr>
        <w:fldChar w:fldCharType="separate"/>
      </w:r>
      <w:r w:rsidR="00E65EDB">
        <w:rPr>
          <w:noProof/>
          <w:color w:val="000000" w:themeColor="text1"/>
          <w:sz w:val="22"/>
          <w:szCs w:val="22"/>
        </w:rPr>
        <w:t>3</w:t>
      </w:r>
      <w:r w:rsidR="00E72F8E" w:rsidRPr="001F60CF">
        <w:rPr>
          <w:color w:val="000000" w:themeColor="text1"/>
          <w:sz w:val="22"/>
          <w:szCs w:val="22"/>
        </w:rPr>
        <w:fldChar w:fldCharType="end"/>
      </w:r>
      <w:r w:rsidR="009844A2" w:rsidRPr="001F60CF">
        <w:rPr>
          <w:color w:val="000000" w:themeColor="text1"/>
          <w:sz w:val="22"/>
          <w:szCs w:val="22"/>
        </w:rPr>
        <w:t xml:space="preserve">: Répartition des </w:t>
      </w:r>
      <w:r w:rsidR="00C869FC">
        <w:rPr>
          <w:color w:val="000000" w:themeColor="text1"/>
          <w:sz w:val="22"/>
          <w:szCs w:val="22"/>
        </w:rPr>
        <w:t>dépenses courantes de santé</w:t>
      </w:r>
      <w:r w:rsidR="009844A2" w:rsidRPr="001F60CF">
        <w:rPr>
          <w:color w:val="000000" w:themeColor="text1"/>
          <w:sz w:val="22"/>
          <w:szCs w:val="22"/>
        </w:rPr>
        <w:t xml:space="preserve"> selon les prestataires de soins de santé et les régimes de financement en francs CFA</w:t>
      </w:r>
      <w:bookmarkEnd w:id="111"/>
    </w:p>
    <w:p w:rsidR="001B67B0" w:rsidRDefault="00EE60F1" w:rsidP="00EE60F1">
      <w:pPr>
        <w:tabs>
          <w:tab w:val="left" w:pos="2445"/>
        </w:tabs>
        <w:spacing w:before="240" w:line="312" w:lineRule="auto"/>
        <w:rPr>
          <w:rFonts w:ascii="Arial" w:hAnsi="Arial" w:cs="Arial"/>
          <w:sz w:val="20"/>
          <w:szCs w:val="20"/>
        </w:rPr>
      </w:pPr>
      <w:r>
        <w:rPr>
          <w:rFonts w:ascii="Arial" w:hAnsi="Arial" w:cs="Arial"/>
          <w:sz w:val="20"/>
          <w:szCs w:val="20"/>
        </w:rPr>
        <w:tab/>
      </w:r>
    </w:p>
    <w:tbl>
      <w:tblPr>
        <w:tblW w:w="5000" w:type="pct"/>
        <w:tblCellMar>
          <w:left w:w="70" w:type="dxa"/>
          <w:right w:w="70" w:type="dxa"/>
        </w:tblCellMar>
        <w:tblLook w:val="04A0"/>
      </w:tblPr>
      <w:tblGrid>
        <w:gridCol w:w="4712"/>
        <w:gridCol w:w="3120"/>
        <w:gridCol w:w="1742"/>
        <w:gridCol w:w="1786"/>
        <w:gridCol w:w="1786"/>
      </w:tblGrid>
      <w:tr w:rsidR="0015487E" w:rsidRPr="0015487E" w:rsidTr="0015487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services auxiliaires</w:t>
            </w:r>
          </w:p>
        </w:tc>
      </w:tr>
      <w:tr w:rsidR="0015487E" w:rsidRPr="0015487E" w:rsidTr="0015487E">
        <w:trPr>
          <w:trHeight w:val="300"/>
        </w:trPr>
        <w:tc>
          <w:tcPr>
            <w:tcW w:w="1872"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Laboratoires Médicaux et de diagnostique</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1 496 339 831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13 881 000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1 510 220 831   </w:t>
            </w:r>
          </w:p>
        </w:tc>
      </w:tr>
      <w:tr w:rsidR="0015487E" w:rsidRPr="0015487E" w:rsidTr="0015487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Détaillants et autres prestataires de biens médicaux</w:t>
            </w:r>
          </w:p>
        </w:tc>
      </w:tr>
      <w:tr w:rsidR="0015487E" w:rsidRPr="0015487E" w:rsidTr="0015487E">
        <w:trPr>
          <w:trHeight w:val="300"/>
        </w:trPr>
        <w:tc>
          <w:tcPr>
            <w:tcW w:w="1872"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Pharmacies</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6 661 213 160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33 270 610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19 964 151 543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26 658 635 313   </w:t>
            </w:r>
          </w:p>
        </w:tc>
      </w:tr>
      <w:tr w:rsidR="0015487E" w:rsidRPr="0015487E" w:rsidTr="0015487E">
        <w:trPr>
          <w:trHeight w:val="510"/>
        </w:trPr>
        <w:tc>
          <w:tcPr>
            <w:tcW w:w="1872"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Détaillants et autres fournisseurs de biens médicaux durables et d'appareils médicaux</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378 362 419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378 362 419   </w:t>
            </w:r>
          </w:p>
        </w:tc>
      </w:tr>
      <w:tr w:rsidR="0015487E" w:rsidRPr="0015487E" w:rsidTr="0015487E">
        <w:trPr>
          <w:trHeight w:val="510"/>
        </w:trPr>
        <w:tc>
          <w:tcPr>
            <w:tcW w:w="1872"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Tous autres détaillants divers et autres fournisseurs de produits pharmaceutiques et biens médicaux</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4 076 582 108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4 076 582 108   </w:t>
            </w:r>
          </w:p>
        </w:tc>
      </w:tr>
      <w:tr w:rsidR="0015487E" w:rsidRPr="0015487E" w:rsidTr="0015487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préventifs</w:t>
            </w:r>
          </w:p>
        </w:tc>
      </w:tr>
      <w:tr w:rsidR="0015487E" w:rsidRPr="0015487E" w:rsidTr="0015487E">
        <w:trPr>
          <w:trHeight w:val="300"/>
        </w:trPr>
        <w:tc>
          <w:tcPr>
            <w:tcW w:w="1872"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Prestataires de soins préventifs</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580 126 452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44 569 514 856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45 149 641 308   </w:t>
            </w:r>
          </w:p>
        </w:tc>
      </w:tr>
      <w:tr w:rsidR="0015487E" w:rsidRPr="0015487E" w:rsidTr="0015487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services administratifs et de financement du système de soins de santé</w:t>
            </w:r>
          </w:p>
        </w:tc>
      </w:tr>
      <w:tr w:rsidR="0015487E" w:rsidRPr="0015487E" w:rsidTr="0015487E">
        <w:trPr>
          <w:trHeight w:val="300"/>
        </w:trPr>
        <w:tc>
          <w:tcPr>
            <w:tcW w:w="1872"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Agences étatiques de l'administration de la santé</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21 197 408 562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324 888 346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21 522 296 908   </w:t>
            </w:r>
          </w:p>
        </w:tc>
      </w:tr>
      <w:tr w:rsidR="0015487E" w:rsidRPr="0015487E" w:rsidTr="0015487E">
        <w:trPr>
          <w:trHeight w:val="300"/>
        </w:trPr>
        <w:tc>
          <w:tcPr>
            <w:tcW w:w="1872"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Agences d'assurance maladie sociale</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3 527 673 000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3 527 673 000   </w:t>
            </w:r>
          </w:p>
        </w:tc>
      </w:tr>
      <w:tr w:rsidR="0015487E" w:rsidRPr="0015487E" w:rsidTr="0015487E">
        <w:trPr>
          <w:trHeight w:val="300"/>
        </w:trPr>
        <w:tc>
          <w:tcPr>
            <w:tcW w:w="1872"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Agences administratifs de l'assurance maladie privée</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5 000 000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5 000 000   </w:t>
            </w:r>
          </w:p>
        </w:tc>
      </w:tr>
      <w:tr w:rsidR="0015487E" w:rsidRPr="0015487E" w:rsidTr="0015487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Reste de l'économie</w:t>
            </w:r>
          </w:p>
        </w:tc>
      </w:tr>
      <w:tr w:rsidR="0015487E" w:rsidRPr="0015487E" w:rsidTr="0015487E">
        <w:trPr>
          <w:trHeight w:val="510"/>
        </w:trPr>
        <w:tc>
          <w:tcPr>
            <w:tcW w:w="1872"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Toutes autres industries prestataires secondaires de soins de santé</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11 092 700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234 679 320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245 772 020   </w:t>
            </w:r>
          </w:p>
        </w:tc>
      </w:tr>
      <w:tr w:rsidR="0015487E" w:rsidRPr="0015487E" w:rsidTr="0015487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Reste du monde</w:t>
            </w:r>
          </w:p>
        </w:tc>
      </w:tr>
      <w:tr w:rsidR="0015487E" w:rsidRPr="0015487E" w:rsidTr="0015487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de santé non spécifiés (n.c.a.)</w:t>
            </w:r>
          </w:p>
        </w:tc>
      </w:tr>
      <w:tr w:rsidR="0015487E" w:rsidRPr="0015487E" w:rsidTr="0015487E">
        <w:trPr>
          <w:trHeight w:val="300"/>
        </w:trPr>
        <w:tc>
          <w:tcPr>
            <w:tcW w:w="1872"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de santé non spécifiés (n.c.a.)</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379 372 290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21 495 541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400 867 831   </w:t>
            </w:r>
          </w:p>
        </w:tc>
      </w:tr>
      <w:tr w:rsidR="0015487E" w:rsidRPr="0015487E" w:rsidTr="0015487E">
        <w:trPr>
          <w:trHeight w:val="300"/>
        </w:trPr>
        <w:tc>
          <w:tcPr>
            <w:tcW w:w="1872" w:type="pct"/>
            <w:tcBorders>
              <w:top w:val="nil"/>
              <w:left w:val="single" w:sz="4" w:space="0" w:color="auto"/>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Total</w:t>
            </w:r>
          </w:p>
        </w:tc>
        <w:tc>
          <w:tcPr>
            <w:tcW w:w="117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102 329 568 410   </w:t>
            </w:r>
          </w:p>
        </w:tc>
        <w:tc>
          <w:tcPr>
            <w:tcW w:w="63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109 946 778 917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189 034 029 628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401 310 376 956   </w:t>
            </w:r>
          </w:p>
        </w:tc>
      </w:tr>
    </w:tbl>
    <w:p w:rsidR="001B67B0" w:rsidRDefault="001B67B0">
      <w:pPr>
        <w:autoSpaceDE/>
        <w:autoSpaceDN/>
        <w:adjustRightInd/>
        <w:spacing w:after="200" w:line="276" w:lineRule="auto"/>
        <w:jc w:val="left"/>
        <w:rPr>
          <w:rFonts w:ascii="Arial" w:hAnsi="Arial" w:cs="Arial"/>
          <w:sz w:val="20"/>
          <w:szCs w:val="20"/>
        </w:rPr>
      </w:pPr>
      <w:r>
        <w:rPr>
          <w:rFonts w:ascii="Arial" w:hAnsi="Arial" w:cs="Arial"/>
          <w:sz w:val="20"/>
          <w:szCs w:val="20"/>
        </w:rPr>
        <w:br w:type="page"/>
      </w:r>
    </w:p>
    <w:p w:rsidR="00D95DBC" w:rsidRPr="00E65EDB" w:rsidRDefault="00E65EDB" w:rsidP="00E65EDB">
      <w:pPr>
        <w:pStyle w:val="Lgende"/>
        <w:rPr>
          <w:color w:val="000000" w:themeColor="text1"/>
          <w:sz w:val="22"/>
          <w:szCs w:val="22"/>
        </w:rPr>
      </w:pPr>
      <w:bookmarkStart w:id="112" w:name="_Toc418858337"/>
      <w:r w:rsidRPr="00E65EDB">
        <w:rPr>
          <w:color w:val="000000" w:themeColor="text1"/>
          <w:sz w:val="22"/>
          <w:szCs w:val="22"/>
        </w:rPr>
        <w:t xml:space="preserve">Tableau annexe </w:t>
      </w:r>
      <w:r w:rsidR="00E72F8E" w:rsidRPr="00E65EDB">
        <w:rPr>
          <w:color w:val="000000" w:themeColor="text1"/>
          <w:sz w:val="22"/>
          <w:szCs w:val="22"/>
        </w:rPr>
        <w:fldChar w:fldCharType="begin"/>
      </w:r>
      <w:r w:rsidRPr="00E65EDB">
        <w:rPr>
          <w:color w:val="000000" w:themeColor="text1"/>
          <w:sz w:val="22"/>
          <w:szCs w:val="22"/>
        </w:rPr>
        <w:instrText xml:space="preserve"> SEQ Tableau_annexe \* ARABIC </w:instrText>
      </w:r>
      <w:r w:rsidR="00E72F8E" w:rsidRPr="00E65EDB">
        <w:rPr>
          <w:color w:val="000000" w:themeColor="text1"/>
          <w:sz w:val="22"/>
          <w:szCs w:val="22"/>
        </w:rPr>
        <w:fldChar w:fldCharType="separate"/>
      </w:r>
      <w:r>
        <w:rPr>
          <w:noProof/>
          <w:color w:val="000000" w:themeColor="text1"/>
          <w:sz w:val="22"/>
          <w:szCs w:val="22"/>
        </w:rPr>
        <w:t>4</w:t>
      </w:r>
      <w:r w:rsidR="00E72F8E" w:rsidRPr="00E65EDB">
        <w:rPr>
          <w:color w:val="000000" w:themeColor="text1"/>
          <w:sz w:val="22"/>
          <w:szCs w:val="22"/>
        </w:rPr>
        <w:fldChar w:fldCharType="end"/>
      </w:r>
      <w:r w:rsidR="009844A2" w:rsidRPr="00E65EDB">
        <w:rPr>
          <w:color w:val="000000" w:themeColor="text1"/>
          <w:sz w:val="22"/>
          <w:szCs w:val="22"/>
        </w:rPr>
        <w:t xml:space="preserve">: Répartition des </w:t>
      </w:r>
      <w:r w:rsidR="00C869FC">
        <w:rPr>
          <w:color w:val="000000" w:themeColor="text1"/>
          <w:sz w:val="22"/>
          <w:szCs w:val="22"/>
        </w:rPr>
        <w:t>dépenses courantes de santé</w:t>
      </w:r>
      <w:r w:rsidR="009844A2" w:rsidRPr="00E65EDB">
        <w:rPr>
          <w:color w:val="000000" w:themeColor="text1"/>
          <w:sz w:val="22"/>
          <w:szCs w:val="22"/>
        </w:rPr>
        <w:t xml:space="preserve"> selon les fonctions de soins de santé et les régimes de financement en francs CFA</w:t>
      </w:r>
      <w:bookmarkEnd w:id="112"/>
    </w:p>
    <w:tbl>
      <w:tblPr>
        <w:tblW w:w="12500" w:type="dxa"/>
        <w:tblInd w:w="56" w:type="dxa"/>
        <w:tblCellMar>
          <w:left w:w="70" w:type="dxa"/>
          <w:right w:w="70" w:type="dxa"/>
        </w:tblCellMar>
        <w:tblLook w:val="04A0"/>
      </w:tblPr>
      <w:tblGrid>
        <w:gridCol w:w="2800"/>
        <w:gridCol w:w="3280"/>
        <w:gridCol w:w="2140"/>
        <w:gridCol w:w="2140"/>
        <w:gridCol w:w="2140"/>
      </w:tblGrid>
      <w:tr w:rsidR="0015487E" w:rsidRPr="0015487E" w:rsidTr="0015487E">
        <w:trPr>
          <w:trHeight w:val="300"/>
        </w:trPr>
        <w:tc>
          <w:tcPr>
            <w:tcW w:w="12500" w:type="dxa"/>
            <w:gridSpan w:val="5"/>
            <w:tcBorders>
              <w:top w:val="single" w:sz="4" w:space="0" w:color="auto"/>
              <w:left w:val="single" w:sz="4" w:space="0" w:color="auto"/>
              <w:bottom w:val="single" w:sz="4" w:space="0" w:color="auto"/>
              <w:right w:val="single" w:sz="4" w:space="0" w:color="auto"/>
            </w:tcBorders>
            <w:shd w:val="clear" w:color="000000" w:fill="C0C0C0"/>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Régimes de financement</w:t>
            </w:r>
          </w:p>
        </w:tc>
      </w:tr>
      <w:tr w:rsidR="0015487E" w:rsidRPr="0015487E" w:rsidTr="0015487E">
        <w:trPr>
          <w:trHeight w:val="76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Fonctions des soins de santé</w:t>
            </w:r>
          </w:p>
        </w:tc>
        <w:tc>
          <w:tcPr>
            <w:tcW w:w="3280" w:type="dxa"/>
            <w:tcBorders>
              <w:top w:val="nil"/>
              <w:left w:val="nil"/>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Régimes de l'administration publique et régimes contributifs obligatoires de financement de la santé</w:t>
            </w:r>
          </w:p>
        </w:tc>
        <w:tc>
          <w:tcPr>
            <w:tcW w:w="2140" w:type="dxa"/>
            <w:tcBorders>
              <w:top w:val="nil"/>
              <w:left w:val="nil"/>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Régimes volontaire de paiement privé des soins de santé</w:t>
            </w:r>
          </w:p>
        </w:tc>
        <w:tc>
          <w:tcPr>
            <w:tcW w:w="2140" w:type="dxa"/>
            <w:tcBorders>
              <w:top w:val="nil"/>
              <w:left w:val="nil"/>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Paiement direct des ménages</w:t>
            </w:r>
          </w:p>
        </w:tc>
        <w:tc>
          <w:tcPr>
            <w:tcW w:w="2140" w:type="dxa"/>
            <w:tcBorders>
              <w:top w:val="nil"/>
              <w:left w:val="nil"/>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Ensemble</w:t>
            </w:r>
          </w:p>
        </w:tc>
      </w:tr>
      <w:tr w:rsidR="0015487E" w:rsidRPr="0015487E" w:rsidTr="0015487E">
        <w:trPr>
          <w:trHeight w:val="300"/>
        </w:trPr>
        <w:tc>
          <w:tcPr>
            <w:tcW w:w="12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Soins curatifs</w:t>
            </w:r>
          </w:p>
        </w:tc>
      </w:tr>
      <w:tr w:rsidR="0015487E" w:rsidRPr="0015487E" w:rsidTr="0015487E">
        <w:trPr>
          <w:trHeight w:val="30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Soins curatifs hospitaliers</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9 027 506 773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1 891 299 911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18 684 590 017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29 603 396 700   </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Soins curatifs en hospitalisation de jour</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188 547 000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12 869 000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201 416 000   </w:t>
            </w:r>
          </w:p>
        </w:tc>
      </w:tr>
      <w:tr w:rsidR="0015487E" w:rsidRPr="0015487E" w:rsidTr="0015487E">
        <w:trPr>
          <w:trHeight w:val="30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Soins curatifs ambulatoires</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35 607 364 356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23 769 973 442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146 308 705 962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205 686 043 760   </w:t>
            </w:r>
          </w:p>
        </w:tc>
      </w:tr>
      <w:tr w:rsidR="0015487E" w:rsidRPr="0015487E" w:rsidTr="0015487E">
        <w:trPr>
          <w:trHeight w:val="300"/>
        </w:trPr>
        <w:tc>
          <w:tcPr>
            <w:tcW w:w="12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Soins (de santé) de longue durée</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Soins (de santé) de longue durée en mode ambulatoire</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5 289 715 204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89 205 344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5 378 920 548   </w:t>
            </w:r>
          </w:p>
        </w:tc>
      </w:tr>
      <w:tr w:rsidR="0015487E" w:rsidRPr="0015487E" w:rsidTr="0015487E">
        <w:trPr>
          <w:trHeight w:val="300"/>
        </w:trPr>
        <w:tc>
          <w:tcPr>
            <w:tcW w:w="12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Services auxiliaires (non-spécifié par fonction)</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Services de laboratoire d’analyses médicales</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1 501 607 170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33 574 341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1 535 181 511   </w:t>
            </w:r>
          </w:p>
        </w:tc>
      </w:tr>
      <w:tr w:rsidR="0015487E" w:rsidRPr="0015487E" w:rsidTr="0015487E">
        <w:trPr>
          <w:trHeight w:val="300"/>
        </w:trPr>
        <w:tc>
          <w:tcPr>
            <w:tcW w:w="12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Biens médicaux (non-spécifiés par fonction)</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Produits pharmaceutiques et autres biens médicaux non durables</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6 661 213 160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33 270 610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24 040 733 650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30 735 217 420   </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Appareils thérapeutiques et autres biens médicaux</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378 362 419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378 362 419   </w:t>
            </w:r>
          </w:p>
        </w:tc>
      </w:tr>
      <w:tr w:rsidR="0015487E" w:rsidRPr="0015487E" w:rsidTr="0015487E">
        <w:trPr>
          <w:trHeight w:val="300"/>
        </w:trPr>
        <w:tc>
          <w:tcPr>
            <w:tcW w:w="12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Soins préventifs</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Programmes d’information, d’éducation et de conseil (IEC)</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241 437 305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12 572 207 474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12 813 644 779   </w:t>
            </w:r>
          </w:p>
        </w:tc>
      </w:tr>
      <w:tr w:rsidR="0015487E" w:rsidRPr="0015487E" w:rsidTr="0015487E">
        <w:trPr>
          <w:trHeight w:val="30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Programmes de vaccination</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14 185 511 337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5 091 476 091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19 276 987 428   </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Programmes de détection précoce de maladie</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78 917 823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455 710 089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534 627 912   </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Programme de suivi de l’état de santé</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1 127 258 989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3 923 599 634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5 050 858 623   </w:t>
            </w:r>
          </w:p>
        </w:tc>
      </w:tr>
      <w:tr w:rsidR="0015487E" w:rsidRPr="0015487E" w:rsidTr="0015487E">
        <w:trPr>
          <w:trHeight w:val="76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Surveillance épidémiologique et programmes de lutte contre le risque et la maladie</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3 294 545 313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61 438 630 015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64 733 175 328   </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Soins préventifs non spécifiés (n.c.a.)</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22 500 000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305 074 620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327 574 620   </w:t>
            </w:r>
          </w:p>
        </w:tc>
      </w:tr>
      <w:tr w:rsidR="0015487E" w:rsidRPr="0015487E" w:rsidTr="0015487E">
        <w:trPr>
          <w:trHeight w:val="300"/>
        </w:trPr>
        <w:tc>
          <w:tcPr>
            <w:tcW w:w="12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Gouvernance, administration du système de santé et des financements</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Gouvernance et administration du système de santé</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19 629 983 056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324 888 346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19 954 871 402   </w:t>
            </w:r>
          </w:p>
        </w:tc>
      </w:tr>
      <w:tr w:rsidR="0015487E" w:rsidRPr="0015487E" w:rsidTr="0015487E">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Administration du financement de la santé</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5 095 098 506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5 000 000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5 100 098 506   </w:t>
            </w:r>
          </w:p>
        </w:tc>
      </w:tr>
      <w:tr w:rsidR="0015487E" w:rsidRPr="0015487E" w:rsidTr="0015487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Total</w:t>
            </w:r>
          </w:p>
        </w:tc>
        <w:tc>
          <w:tcPr>
            <w:tcW w:w="328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102 329 568 410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109 946 778 917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189 034 029 628   </w:t>
            </w:r>
          </w:p>
        </w:tc>
        <w:tc>
          <w:tcPr>
            <w:tcW w:w="2140" w:type="dxa"/>
            <w:tcBorders>
              <w:top w:val="nil"/>
              <w:left w:val="nil"/>
              <w:bottom w:val="single" w:sz="4" w:space="0" w:color="auto"/>
              <w:right w:val="single" w:sz="4" w:space="0" w:color="auto"/>
            </w:tcBorders>
            <w:shd w:val="clear" w:color="auto" w:fill="auto"/>
            <w:noWrap/>
            <w:vAlign w:val="center"/>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401 310 376 956   </w:t>
            </w:r>
          </w:p>
        </w:tc>
      </w:tr>
    </w:tbl>
    <w:p w:rsidR="00CD7AD3" w:rsidRDefault="00CD7AD3" w:rsidP="001B67B0">
      <w:pPr>
        <w:spacing w:before="240" w:line="312" w:lineRule="auto"/>
        <w:rPr>
          <w:rFonts w:ascii="Arial" w:hAnsi="Arial" w:cs="Arial"/>
          <w:sz w:val="20"/>
          <w:szCs w:val="20"/>
        </w:rPr>
      </w:pPr>
    </w:p>
    <w:p w:rsidR="00CD7AD3" w:rsidRDefault="00CD7AD3">
      <w:pPr>
        <w:autoSpaceDE/>
        <w:autoSpaceDN/>
        <w:adjustRightInd/>
        <w:spacing w:after="200" w:line="276" w:lineRule="auto"/>
        <w:jc w:val="left"/>
        <w:rPr>
          <w:rFonts w:ascii="Arial" w:hAnsi="Arial" w:cs="Arial"/>
          <w:sz w:val="20"/>
          <w:szCs w:val="20"/>
        </w:rPr>
      </w:pPr>
      <w:r>
        <w:rPr>
          <w:rFonts w:ascii="Arial" w:hAnsi="Arial" w:cs="Arial"/>
          <w:sz w:val="20"/>
          <w:szCs w:val="20"/>
        </w:rPr>
        <w:br w:type="page"/>
      </w:r>
    </w:p>
    <w:p w:rsidR="009844A2" w:rsidRPr="00E65EDB" w:rsidRDefault="00E65EDB" w:rsidP="00960834">
      <w:pPr>
        <w:pStyle w:val="Lgende"/>
        <w:spacing w:after="0"/>
        <w:ind w:left="1843" w:hanging="1843"/>
        <w:rPr>
          <w:rFonts w:ascii="Arial" w:hAnsi="Arial" w:cs="Arial"/>
          <w:color w:val="000000" w:themeColor="text1"/>
          <w:sz w:val="22"/>
          <w:szCs w:val="22"/>
        </w:rPr>
      </w:pPr>
      <w:bookmarkStart w:id="113" w:name="_Toc418858338"/>
      <w:r w:rsidRPr="00E65EDB">
        <w:rPr>
          <w:rFonts w:ascii="Arial" w:hAnsi="Arial" w:cs="Arial"/>
          <w:color w:val="000000" w:themeColor="text1"/>
          <w:sz w:val="22"/>
          <w:szCs w:val="22"/>
        </w:rPr>
        <w:t xml:space="preserve">Tableau annexe </w:t>
      </w:r>
      <w:r w:rsidR="00E72F8E" w:rsidRPr="00E65EDB">
        <w:rPr>
          <w:rFonts w:ascii="Arial" w:hAnsi="Arial" w:cs="Arial"/>
          <w:color w:val="000000" w:themeColor="text1"/>
          <w:sz w:val="22"/>
          <w:szCs w:val="22"/>
        </w:rPr>
        <w:fldChar w:fldCharType="begin"/>
      </w:r>
      <w:r w:rsidRPr="00E65EDB">
        <w:rPr>
          <w:rFonts w:ascii="Arial" w:hAnsi="Arial" w:cs="Arial"/>
          <w:color w:val="000000" w:themeColor="text1"/>
          <w:sz w:val="22"/>
          <w:szCs w:val="22"/>
        </w:rPr>
        <w:instrText xml:space="preserve"> SEQ Tableau_annexe \* ARABIC </w:instrText>
      </w:r>
      <w:r w:rsidR="00E72F8E" w:rsidRPr="00E65EDB">
        <w:rPr>
          <w:rFonts w:ascii="Arial" w:hAnsi="Arial" w:cs="Arial"/>
          <w:color w:val="000000" w:themeColor="text1"/>
          <w:sz w:val="22"/>
          <w:szCs w:val="22"/>
        </w:rPr>
        <w:fldChar w:fldCharType="separate"/>
      </w:r>
      <w:r>
        <w:rPr>
          <w:rFonts w:ascii="Arial" w:hAnsi="Arial" w:cs="Arial"/>
          <w:noProof/>
          <w:color w:val="000000" w:themeColor="text1"/>
          <w:sz w:val="22"/>
          <w:szCs w:val="22"/>
        </w:rPr>
        <w:t>5</w:t>
      </w:r>
      <w:r w:rsidR="00E72F8E" w:rsidRPr="00E65EDB">
        <w:rPr>
          <w:rFonts w:ascii="Arial" w:hAnsi="Arial" w:cs="Arial"/>
          <w:color w:val="000000" w:themeColor="text1"/>
          <w:sz w:val="22"/>
          <w:szCs w:val="22"/>
        </w:rPr>
        <w:fldChar w:fldCharType="end"/>
      </w:r>
      <w:r w:rsidR="009844A2" w:rsidRPr="00E65EDB">
        <w:rPr>
          <w:rFonts w:ascii="Arial" w:hAnsi="Arial" w:cs="Arial"/>
          <w:color w:val="000000" w:themeColor="text1"/>
          <w:sz w:val="22"/>
          <w:szCs w:val="22"/>
        </w:rPr>
        <w:t xml:space="preserve">: Répartition des </w:t>
      </w:r>
      <w:r w:rsidR="00C869FC">
        <w:rPr>
          <w:rFonts w:ascii="Arial" w:hAnsi="Arial" w:cs="Arial"/>
          <w:color w:val="000000" w:themeColor="text1"/>
          <w:sz w:val="22"/>
          <w:szCs w:val="22"/>
        </w:rPr>
        <w:t>dépenses courantes de santé</w:t>
      </w:r>
      <w:r w:rsidR="009844A2" w:rsidRPr="00E65EDB">
        <w:rPr>
          <w:rFonts w:ascii="Arial" w:hAnsi="Arial" w:cs="Arial"/>
          <w:color w:val="000000" w:themeColor="text1"/>
          <w:sz w:val="22"/>
          <w:szCs w:val="22"/>
        </w:rPr>
        <w:t xml:space="preserve"> selon les prestataires et les fonctions de soins de santé en francs CFA</w:t>
      </w:r>
      <w:bookmarkEnd w:id="113"/>
    </w:p>
    <w:tbl>
      <w:tblPr>
        <w:tblW w:w="5000" w:type="pct"/>
        <w:tblCellMar>
          <w:left w:w="70" w:type="dxa"/>
          <w:right w:w="70" w:type="dxa"/>
        </w:tblCellMar>
        <w:tblLook w:val="04A0"/>
      </w:tblPr>
      <w:tblGrid>
        <w:gridCol w:w="2191"/>
        <w:gridCol w:w="1622"/>
        <w:gridCol w:w="1328"/>
        <w:gridCol w:w="1588"/>
        <w:gridCol w:w="1535"/>
        <w:gridCol w:w="1622"/>
        <w:gridCol w:w="1638"/>
        <w:gridCol w:w="1622"/>
      </w:tblGrid>
      <w:tr w:rsidR="0015487E" w:rsidRPr="0015487E" w:rsidTr="0015487E">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Fonctions des soins de santé</w:t>
            </w:r>
          </w:p>
        </w:tc>
      </w:tr>
      <w:tr w:rsidR="0015487E" w:rsidRPr="0015487E" w:rsidTr="0015487E">
        <w:trPr>
          <w:trHeight w:val="1020"/>
        </w:trPr>
        <w:tc>
          <w:tcPr>
            <w:tcW w:w="833" w:type="pct"/>
            <w:tcBorders>
              <w:top w:val="nil"/>
              <w:left w:val="single" w:sz="4" w:space="0" w:color="auto"/>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de santé</w:t>
            </w:r>
          </w:p>
        </w:tc>
        <w:tc>
          <w:tcPr>
            <w:tcW w:w="617" w:type="pct"/>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Soins curatifs</w:t>
            </w:r>
          </w:p>
        </w:tc>
        <w:tc>
          <w:tcPr>
            <w:tcW w:w="505" w:type="pct"/>
            <w:tcBorders>
              <w:top w:val="nil"/>
              <w:left w:val="nil"/>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Soins (de santé) de longue durée</w:t>
            </w:r>
          </w:p>
        </w:tc>
        <w:tc>
          <w:tcPr>
            <w:tcW w:w="604" w:type="pct"/>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Services auxiliaires (non-spécifié par fonction)</w:t>
            </w:r>
          </w:p>
        </w:tc>
        <w:tc>
          <w:tcPr>
            <w:tcW w:w="584" w:type="pct"/>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Biens médicaux (non-spécifiés par fonction)</w:t>
            </w:r>
          </w:p>
        </w:tc>
        <w:tc>
          <w:tcPr>
            <w:tcW w:w="617" w:type="pct"/>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Soins préventifs</w:t>
            </w:r>
          </w:p>
        </w:tc>
        <w:tc>
          <w:tcPr>
            <w:tcW w:w="623" w:type="pct"/>
            <w:tcBorders>
              <w:top w:val="nil"/>
              <w:left w:val="nil"/>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Gouvernance, administration du système de santé et des financements</w:t>
            </w:r>
          </w:p>
        </w:tc>
        <w:tc>
          <w:tcPr>
            <w:tcW w:w="617" w:type="pct"/>
            <w:tcBorders>
              <w:top w:val="nil"/>
              <w:left w:val="nil"/>
              <w:bottom w:val="single" w:sz="4" w:space="0" w:color="auto"/>
              <w:right w:val="single" w:sz="4" w:space="0" w:color="auto"/>
            </w:tcBorders>
            <w:shd w:val="clear" w:color="auto" w:fill="auto"/>
            <w:vAlign w:val="center"/>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Ensemble</w:t>
            </w:r>
          </w:p>
        </w:tc>
      </w:tr>
      <w:tr w:rsidR="0015487E" w:rsidRPr="0015487E" w:rsidTr="0015487E">
        <w:trPr>
          <w:trHeight w:val="300"/>
        </w:trPr>
        <w:tc>
          <w:tcPr>
            <w:tcW w:w="833"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Hôpitaux</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130 258 845 572   </w:t>
            </w:r>
          </w:p>
        </w:tc>
        <w:tc>
          <w:tcPr>
            <w:tcW w:w="505"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w:t>
            </w:r>
          </w:p>
        </w:tc>
        <w:tc>
          <w:tcPr>
            <w:tcW w:w="60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8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25 126 982 307   </w:t>
            </w:r>
          </w:p>
        </w:tc>
        <w:tc>
          <w:tcPr>
            <w:tcW w:w="623"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157 714 834 331   </w:t>
            </w:r>
          </w:p>
        </w:tc>
      </w:tr>
      <w:tr w:rsidR="0015487E" w:rsidRPr="0015487E" w:rsidTr="0015487E">
        <w:trPr>
          <w:trHeight w:val="510"/>
        </w:trPr>
        <w:tc>
          <w:tcPr>
            <w:tcW w:w="833"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de santé ambulatoire</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103 509 718 806   </w:t>
            </w:r>
          </w:p>
        </w:tc>
        <w:tc>
          <w:tcPr>
            <w:tcW w:w="505"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w:t>
            </w:r>
          </w:p>
        </w:tc>
        <w:tc>
          <w:tcPr>
            <w:tcW w:w="60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8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32 116 799 603   </w:t>
            </w:r>
          </w:p>
        </w:tc>
        <w:tc>
          <w:tcPr>
            <w:tcW w:w="623"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138 622 937 268   </w:t>
            </w:r>
          </w:p>
        </w:tc>
      </w:tr>
      <w:tr w:rsidR="0015487E" w:rsidRPr="0015487E" w:rsidTr="0015487E">
        <w:trPr>
          <w:trHeight w:val="510"/>
        </w:trPr>
        <w:tc>
          <w:tcPr>
            <w:tcW w:w="833"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services auxiliaires</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05"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0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1 510 220 831   </w:t>
            </w:r>
          </w:p>
        </w:tc>
        <w:tc>
          <w:tcPr>
            <w:tcW w:w="58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23"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1 510 220 831   </w:t>
            </w:r>
          </w:p>
        </w:tc>
      </w:tr>
      <w:tr w:rsidR="0015487E" w:rsidRPr="0015487E" w:rsidTr="0015487E">
        <w:trPr>
          <w:trHeight w:val="765"/>
        </w:trPr>
        <w:tc>
          <w:tcPr>
            <w:tcW w:w="833"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Détaillants et autres prestataires de biens médicaux</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05"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0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8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31 113 579 839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23"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31 113 579 839   </w:t>
            </w:r>
          </w:p>
        </w:tc>
      </w:tr>
      <w:tr w:rsidR="0015487E" w:rsidRPr="0015487E" w:rsidTr="0015487E">
        <w:trPr>
          <w:trHeight w:val="510"/>
        </w:trPr>
        <w:tc>
          <w:tcPr>
            <w:tcW w:w="833"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préventifs</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05"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53 495 237   </w:t>
            </w:r>
          </w:p>
        </w:tc>
        <w:tc>
          <w:tcPr>
            <w:tcW w:w="60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8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45 096 146 071   </w:t>
            </w:r>
          </w:p>
        </w:tc>
        <w:tc>
          <w:tcPr>
            <w:tcW w:w="623"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45 149 641 308   </w:t>
            </w:r>
          </w:p>
        </w:tc>
      </w:tr>
      <w:tr w:rsidR="0015487E" w:rsidRPr="0015487E" w:rsidTr="0015487E">
        <w:trPr>
          <w:trHeight w:val="1020"/>
        </w:trPr>
        <w:tc>
          <w:tcPr>
            <w:tcW w:w="833"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services administratifs et de financement du système de soins de santé</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05"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0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8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23"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25 054 969 908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25 054 969 908   </w:t>
            </w:r>
          </w:p>
        </w:tc>
      </w:tr>
      <w:tr w:rsidR="0015487E" w:rsidRPr="0015487E" w:rsidTr="0015487E">
        <w:trPr>
          <w:trHeight w:val="300"/>
        </w:trPr>
        <w:tc>
          <w:tcPr>
            <w:tcW w:w="833"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Reste de l'économie</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194 340 399   </w:t>
            </w:r>
          </w:p>
        </w:tc>
        <w:tc>
          <w:tcPr>
            <w:tcW w:w="505"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0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8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51 431 621   </w:t>
            </w:r>
          </w:p>
        </w:tc>
        <w:tc>
          <w:tcPr>
            <w:tcW w:w="623"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245 772 020   </w:t>
            </w:r>
          </w:p>
        </w:tc>
      </w:tr>
      <w:tr w:rsidR="0015487E" w:rsidRPr="0015487E" w:rsidTr="0015487E">
        <w:trPr>
          <w:trHeight w:val="300"/>
        </w:trPr>
        <w:tc>
          <w:tcPr>
            <w:tcW w:w="833"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Reste du monde</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1 497 553 620   </w:t>
            </w:r>
          </w:p>
        </w:tc>
        <w:tc>
          <w:tcPr>
            <w:tcW w:w="505"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0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58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23"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1 497 553 620   </w:t>
            </w:r>
          </w:p>
        </w:tc>
      </w:tr>
      <w:tr w:rsidR="0015487E" w:rsidRPr="0015487E" w:rsidTr="0015487E">
        <w:trPr>
          <w:trHeight w:val="510"/>
        </w:trPr>
        <w:tc>
          <w:tcPr>
            <w:tcW w:w="833"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de santé non spécifiés (n.c.a.)</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30 398 062   </w:t>
            </w:r>
          </w:p>
        </w:tc>
        <w:tc>
          <w:tcPr>
            <w:tcW w:w="505"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0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24 960 680   </w:t>
            </w:r>
          </w:p>
        </w:tc>
        <w:tc>
          <w:tcPr>
            <w:tcW w:w="58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345 509 089   </w:t>
            </w:r>
          </w:p>
        </w:tc>
        <w:tc>
          <w:tcPr>
            <w:tcW w:w="623"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400 867 831   </w:t>
            </w:r>
          </w:p>
        </w:tc>
      </w:tr>
      <w:tr w:rsidR="0015487E" w:rsidRPr="0015487E" w:rsidTr="0015487E">
        <w:trPr>
          <w:trHeight w:val="300"/>
        </w:trPr>
        <w:tc>
          <w:tcPr>
            <w:tcW w:w="833" w:type="pct"/>
            <w:tcBorders>
              <w:top w:val="nil"/>
              <w:left w:val="single" w:sz="4" w:space="0" w:color="auto"/>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Total</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235 490 856 460   </w:t>
            </w:r>
          </w:p>
        </w:tc>
        <w:tc>
          <w:tcPr>
            <w:tcW w:w="505"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w:t>
            </w:r>
          </w:p>
        </w:tc>
        <w:tc>
          <w:tcPr>
            <w:tcW w:w="60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1 535 181 511   </w:t>
            </w:r>
          </w:p>
        </w:tc>
        <w:tc>
          <w:tcPr>
            <w:tcW w:w="58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31 113 579 839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102 736 868 690   </w:t>
            </w:r>
          </w:p>
        </w:tc>
        <w:tc>
          <w:tcPr>
            <w:tcW w:w="623"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25 054 969 908   </w:t>
            </w:r>
          </w:p>
        </w:tc>
        <w:tc>
          <w:tcPr>
            <w:tcW w:w="617"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401 310 376 956   </w:t>
            </w:r>
          </w:p>
        </w:tc>
      </w:tr>
    </w:tbl>
    <w:p w:rsidR="00CD7AD3" w:rsidRDefault="00CD7AD3" w:rsidP="001B67B0">
      <w:pPr>
        <w:spacing w:before="240" w:line="312" w:lineRule="auto"/>
        <w:rPr>
          <w:rFonts w:ascii="Arial" w:hAnsi="Arial" w:cs="Arial"/>
          <w:sz w:val="20"/>
          <w:szCs w:val="20"/>
        </w:rPr>
      </w:pPr>
    </w:p>
    <w:p w:rsidR="00CD7AD3" w:rsidRDefault="00CD7AD3">
      <w:pPr>
        <w:autoSpaceDE/>
        <w:autoSpaceDN/>
        <w:adjustRightInd/>
        <w:spacing w:after="200" w:line="276" w:lineRule="auto"/>
        <w:jc w:val="left"/>
        <w:rPr>
          <w:rFonts w:ascii="Arial" w:hAnsi="Arial" w:cs="Arial"/>
          <w:sz w:val="20"/>
          <w:szCs w:val="20"/>
        </w:rPr>
      </w:pPr>
      <w:r>
        <w:rPr>
          <w:rFonts w:ascii="Arial" w:hAnsi="Arial" w:cs="Arial"/>
          <w:sz w:val="20"/>
          <w:szCs w:val="20"/>
        </w:rPr>
        <w:br w:type="page"/>
      </w:r>
    </w:p>
    <w:p w:rsidR="009844A2" w:rsidRPr="00E65EDB" w:rsidRDefault="00E65EDB" w:rsidP="00E65EDB">
      <w:pPr>
        <w:pStyle w:val="Lgende"/>
        <w:rPr>
          <w:color w:val="000000" w:themeColor="text1"/>
          <w:sz w:val="22"/>
          <w:szCs w:val="22"/>
        </w:rPr>
      </w:pPr>
      <w:bookmarkStart w:id="114" w:name="_Toc418858339"/>
      <w:r w:rsidRPr="00E65EDB">
        <w:rPr>
          <w:color w:val="000000" w:themeColor="text1"/>
          <w:sz w:val="22"/>
          <w:szCs w:val="22"/>
        </w:rPr>
        <w:t xml:space="preserve">Tableau annexe </w:t>
      </w:r>
      <w:r w:rsidR="00E72F8E" w:rsidRPr="00E65EDB">
        <w:rPr>
          <w:color w:val="000000" w:themeColor="text1"/>
          <w:sz w:val="22"/>
          <w:szCs w:val="22"/>
        </w:rPr>
        <w:fldChar w:fldCharType="begin"/>
      </w:r>
      <w:r w:rsidRPr="00E65EDB">
        <w:rPr>
          <w:color w:val="000000" w:themeColor="text1"/>
          <w:sz w:val="22"/>
          <w:szCs w:val="22"/>
        </w:rPr>
        <w:instrText xml:space="preserve"> SEQ Tableau_annexe \* ARABIC </w:instrText>
      </w:r>
      <w:r w:rsidR="00E72F8E" w:rsidRPr="00E65EDB">
        <w:rPr>
          <w:color w:val="000000" w:themeColor="text1"/>
          <w:sz w:val="22"/>
          <w:szCs w:val="22"/>
        </w:rPr>
        <w:fldChar w:fldCharType="separate"/>
      </w:r>
      <w:r>
        <w:rPr>
          <w:noProof/>
          <w:color w:val="000000" w:themeColor="text1"/>
          <w:sz w:val="22"/>
          <w:szCs w:val="22"/>
        </w:rPr>
        <w:t>6</w:t>
      </w:r>
      <w:r w:rsidR="00E72F8E" w:rsidRPr="00E65EDB">
        <w:rPr>
          <w:color w:val="000000" w:themeColor="text1"/>
          <w:sz w:val="22"/>
          <w:szCs w:val="22"/>
        </w:rPr>
        <w:fldChar w:fldCharType="end"/>
      </w:r>
      <w:r w:rsidR="009844A2" w:rsidRPr="00E65EDB">
        <w:rPr>
          <w:color w:val="000000" w:themeColor="text1"/>
          <w:sz w:val="22"/>
          <w:szCs w:val="22"/>
        </w:rPr>
        <w:t xml:space="preserve">: Répartition des </w:t>
      </w:r>
      <w:r w:rsidR="00C869FC">
        <w:rPr>
          <w:color w:val="000000" w:themeColor="text1"/>
          <w:sz w:val="22"/>
          <w:szCs w:val="22"/>
        </w:rPr>
        <w:t>dépenses courantes de santé</w:t>
      </w:r>
      <w:r w:rsidR="009844A2" w:rsidRPr="00E65EDB">
        <w:rPr>
          <w:color w:val="000000" w:themeColor="text1"/>
          <w:sz w:val="22"/>
          <w:szCs w:val="22"/>
        </w:rPr>
        <w:t xml:space="preserve"> selon les prestataires de soins de santé et les facteurs de prestation en francs CFA</w:t>
      </w:r>
      <w:bookmarkEnd w:id="114"/>
    </w:p>
    <w:tbl>
      <w:tblPr>
        <w:tblW w:w="5000" w:type="pct"/>
        <w:tblCellMar>
          <w:left w:w="70" w:type="dxa"/>
          <w:right w:w="70" w:type="dxa"/>
        </w:tblCellMar>
        <w:tblLook w:val="04A0"/>
      </w:tblPr>
      <w:tblGrid>
        <w:gridCol w:w="1984"/>
        <w:gridCol w:w="2053"/>
        <w:gridCol w:w="1653"/>
        <w:gridCol w:w="2053"/>
        <w:gridCol w:w="1919"/>
        <w:gridCol w:w="2008"/>
        <w:gridCol w:w="1476"/>
      </w:tblGrid>
      <w:tr w:rsidR="0015487E" w:rsidRPr="0015487E" w:rsidTr="0015487E">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Facteurs de prestation de soins de santé</w:t>
            </w:r>
          </w:p>
        </w:tc>
      </w:tr>
      <w:tr w:rsidR="0015487E" w:rsidRPr="0015487E" w:rsidTr="0015487E">
        <w:trPr>
          <w:trHeight w:val="765"/>
        </w:trPr>
        <w:tc>
          <w:tcPr>
            <w:tcW w:w="961" w:type="pct"/>
            <w:tcBorders>
              <w:top w:val="nil"/>
              <w:left w:val="single" w:sz="4" w:space="0" w:color="auto"/>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de santé</w:t>
            </w:r>
          </w:p>
        </w:tc>
        <w:tc>
          <w:tcPr>
            <w:tcW w:w="714" w:type="pct"/>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Rémunération des employés</w:t>
            </w:r>
          </w:p>
        </w:tc>
        <w:tc>
          <w:tcPr>
            <w:tcW w:w="594" w:type="pct"/>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Rémunération des professionnels particuliers</w:t>
            </w:r>
          </w:p>
        </w:tc>
        <w:tc>
          <w:tcPr>
            <w:tcW w:w="714" w:type="pct"/>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Equipements et services utilisés</w:t>
            </w:r>
          </w:p>
        </w:tc>
        <w:tc>
          <w:tcPr>
            <w:tcW w:w="681" w:type="pct"/>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Autres rubriques de dépenses en ressources (entrées)</w:t>
            </w:r>
          </w:p>
        </w:tc>
        <w:tc>
          <w:tcPr>
            <w:tcW w:w="708" w:type="pct"/>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Facteurs de prestation de soins de santé non spécifiés (n.c.a.)</w:t>
            </w:r>
          </w:p>
        </w:tc>
        <w:tc>
          <w:tcPr>
            <w:tcW w:w="628" w:type="pct"/>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Ensemble</w:t>
            </w:r>
          </w:p>
        </w:tc>
      </w:tr>
      <w:tr w:rsidR="0015487E" w:rsidRPr="0015487E" w:rsidTr="0015487E">
        <w:trPr>
          <w:trHeight w:val="300"/>
        </w:trPr>
        <w:tc>
          <w:tcPr>
            <w:tcW w:w="961"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Hôpitaux</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52 591 849 972   </w:t>
            </w:r>
          </w:p>
        </w:tc>
        <w:tc>
          <w:tcPr>
            <w:tcW w:w="59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141 614 009   </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104 981 370 350   </w:t>
            </w:r>
          </w:p>
        </w:tc>
        <w:tc>
          <w:tcPr>
            <w:tcW w:w="681"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0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2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157 714 834 331   </w:t>
            </w:r>
          </w:p>
        </w:tc>
      </w:tr>
      <w:tr w:rsidR="0015487E" w:rsidRPr="0015487E" w:rsidTr="0015487E">
        <w:trPr>
          <w:trHeight w:val="510"/>
        </w:trPr>
        <w:tc>
          <w:tcPr>
            <w:tcW w:w="961"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de santé ambulatoire</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40 908 674 285   </w:t>
            </w:r>
          </w:p>
        </w:tc>
        <w:tc>
          <w:tcPr>
            <w:tcW w:w="59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132 053 227   </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97 577 839 756   </w:t>
            </w:r>
          </w:p>
        </w:tc>
        <w:tc>
          <w:tcPr>
            <w:tcW w:w="681"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4 370 000   </w:t>
            </w:r>
          </w:p>
        </w:tc>
        <w:tc>
          <w:tcPr>
            <w:tcW w:w="70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2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138 622 937 268   </w:t>
            </w:r>
          </w:p>
        </w:tc>
      </w:tr>
      <w:tr w:rsidR="0015487E" w:rsidRPr="0015487E" w:rsidTr="0015487E">
        <w:trPr>
          <w:trHeight w:val="375"/>
        </w:trPr>
        <w:tc>
          <w:tcPr>
            <w:tcW w:w="961"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services auxiliaires</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332 921 750   </w:t>
            </w:r>
          </w:p>
        </w:tc>
        <w:tc>
          <w:tcPr>
            <w:tcW w:w="59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1 177 299 081   </w:t>
            </w:r>
          </w:p>
        </w:tc>
        <w:tc>
          <w:tcPr>
            <w:tcW w:w="681"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0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2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1 510 220 831   </w:t>
            </w:r>
          </w:p>
        </w:tc>
      </w:tr>
      <w:tr w:rsidR="0015487E" w:rsidRPr="0015487E" w:rsidTr="0015487E">
        <w:trPr>
          <w:trHeight w:val="870"/>
        </w:trPr>
        <w:tc>
          <w:tcPr>
            <w:tcW w:w="961"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Détaillants et autres prestataires de biens médicaux</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9 733 678 904   </w:t>
            </w:r>
          </w:p>
        </w:tc>
        <w:tc>
          <w:tcPr>
            <w:tcW w:w="59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21 379 900 935   </w:t>
            </w:r>
          </w:p>
        </w:tc>
        <w:tc>
          <w:tcPr>
            <w:tcW w:w="681"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0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2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31 113 579 839   </w:t>
            </w:r>
          </w:p>
        </w:tc>
      </w:tr>
      <w:tr w:rsidR="0015487E" w:rsidRPr="0015487E" w:rsidTr="0015487E">
        <w:trPr>
          <w:trHeight w:val="510"/>
        </w:trPr>
        <w:tc>
          <w:tcPr>
            <w:tcW w:w="961"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préventifs</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5 296 572 953   </w:t>
            </w:r>
          </w:p>
        </w:tc>
        <w:tc>
          <w:tcPr>
            <w:tcW w:w="59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145 583 957   </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39 707 484 397   </w:t>
            </w:r>
          </w:p>
        </w:tc>
        <w:tc>
          <w:tcPr>
            <w:tcW w:w="681"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0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2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45 149 641 308   </w:t>
            </w:r>
          </w:p>
        </w:tc>
      </w:tr>
      <w:tr w:rsidR="0015487E" w:rsidRPr="0015487E" w:rsidTr="0015487E">
        <w:trPr>
          <w:trHeight w:val="1020"/>
        </w:trPr>
        <w:tc>
          <w:tcPr>
            <w:tcW w:w="961"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services administratifs et de financement du système de soins de santé</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14 958 551 504   </w:t>
            </w:r>
          </w:p>
        </w:tc>
        <w:tc>
          <w:tcPr>
            <w:tcW w:w="59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10 000 000   </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10 041 848 729   </w:t>
            </w:r>
          </w:p>
        </w:tc>
        <w:tc>
          <w:tcPr>
            <w:tcW w:w="681"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0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44 569 676   </w:t>
            </w:r>
          </w:p>
        </w:tc>
        <w:tc>
          <w:tcPr>
            <w:tcW w:w="62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25 054 969 908   </w:t>
            </w:r>
          </w:p>
        </w:tc>
      </w:tr>
      <w:tr w:rsidR="0015487E" w:rsidRPr="0015487E" w:rsidTr="0015487E">
        <w:trPr>
          <w:trHeight w:val="300"/>
        </w:trPr>
        <w:tc>
          <w:tcPr>
            <w:tcW w:w="961"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Reste de l'économie</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104 993 241   </w:t>
            </w:r>
          </w:p>
        </w:tc>
        <w:tc>
          <w:tcPr>
            <w:tcW w:w="59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131 950 779   </w:t>
            </w:r>
          </w:p>
        </w:tc>
        <w:tc>
          <w:tcPr>
            <w:tcW w:w="681"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8 828 000   </w:t>
            </w:r>
          </w:p>
        </w:tc>
        <w:tc>
          <w:tcPr>
            <w:tcW w:w="70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2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245 772 020   </w:t>
            </w:r>
          </w:p>
        </w:tc>
      </w:tr>
      <w:tr w:rsidR="0015487E" w:rsidRPr="0015487E" w:rsidTr="0015487E">
        <w:trPr>
          <w:trHeight w:val="300"/>
        </w:trPr>
        <w:tc>
          <w:tcPr>
            <w:tcW w:w="961"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Reste du monde</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144 285 827   </w:t>
            </w:r>
          </w:p>
        </w:tc>
        <w:tc>
          <w:tcPr>
            <w:tcW w:w="59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1 353 267 793   </w:t>
            </w:r>
          </w:p>
        </w:tc>
        <w:tc>
          <w:tcPr>
            <w:tcW w:w="681"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0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2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1 497 553 620   </w:t>
            </w:r>
          </w:p>
        </w:tc>
      </w:tr>
      <w:tr w:rsidR="0015487E" w:rsidRPr="0015487E" w:rsidTr="0015487E">
        <w:trPr>
          <w:trHeight w:val="510"/>
        </w:trPr>
        <w:tc>
          <w:tcPr>
            <w:tcW w:w="961"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Prestataires de soins de santé non spécifiés (n.c.a.)</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193 403 866   </w:t>
            </w:r>
          </w:p>
        </w:tc>
        <w:tc>
          <w:tcPr>
            <w:tcW w:w="59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207 463 964   </w:t>
            </w:r>
          </w:p>
        </w:tc>
        <w:tc>
          <w:tcPr>
            <w:tcW w:w="681"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70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2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400 867 831   </w:t>
            </w:r>
          </w:p>
        </w:tc>
      </w:tr>
      <w:tr w:rsidR="0015487E" w:rsidRPr="0015487E" w:rsidTr="0015487E">
        <w:trPr>
          <w:trHeight w:val="300"/>
        </w:trPr>
        <w:tc>
          <w:tcPr>
            <w:tcW w:w="961" w:type="pct"/>
            <w:tcBorders>
              <w:top w:val="nil"/>
              <w:left w:val="single" w:sz="4" w:space="0" w:color="auto"/>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Total</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124 264 932 303   </w:t>
            </w:r>
          </w:p>
        </w:tc>
        <w:tc>
          <w:tcPr>
            <w:tcW w:w="59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429 251 193   </w:t>
            </w:r>
          </w:p>
        </w:tc>
        <w:tc>
          <w:tcPr>
            <w:tcW w:w="714"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276 558 425 784   </w:t>
            </w:r>
          </w:p>
        </w:tc>
        <w:tc>
          <w:tcPr>
            <w:tcW w:w="681"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13 198 000   </w:t>
            </w:r>
          </w:p>
        </w:tc>
        <w:tc>
          <w:tcPr>
            <w:tcW w:w="70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44 569 676   </w:t>
            </w:r>
          </w:p>
        </w:tc>
        <w:tc>
          <w:tcPr>
            <w:tcW w:w="628"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401 310 376 956   </w:t>
            </w:r>
          </w:p>
        </w:tc>
      </w:tr>
    </w:tbl>
    <w:p w:rsidR="00CD7AD3" w:rsidRDefault="00CD7AD3" w:rsidP="001B67B0">
      <w:pPr>
        <w:spacing w:before="240" w:line="312" w:lineRule="auto"/>
        <w:rPr>
          <w:rFonts w:ascii="Arial" w:hAnsi="Arial" w:cs="Arial"/>
          <w:sz w:val="20"/>
          <w:szCs w:val="20"/>
        </w:rPr>
      </w:pPr>
    </w:p>
    <w:p w:rsidR="00CD7AD3" w:rsidRDefault="00CD7AD3">
      <w:pPr>
        <w:autoSpaceDE/>
        <w:autoSpaceDN/>
        <w:adjustRightInd/>
        <w:spacing w:after="200" w:line="276" w:lineRule="auto"/>
        <w:jc w:val="left"/>
        <w:rPr>
          <w:rFonts w:ascii="Arial" w:hAnsi="Arial" w:cs="Arial"/>
          <w:sz w:val="20"/>
          <w:szCs w:val="20"/>
        </w:rPr>
      </w:pPr>
      <w:r>
        <w:rPr>
          <w:rFonts w:ascii="Arial" w:hAnsi="Arial" w:cs="Arial"/>
          <w:sz w:val="20"/>
          <w:szCs w:val="20"/>
        </w:rPr>
        <w:br w:type="page"/>
      </w:r>
    </w:p>
    <w:p w:rsidR="009844A2" w:rsidRPr="00E65EDB" w:rsidRDefault="00E65EDB" w:rsidP="008A21DC">
      <w:pPr>
        <w:pStyle w:val="Lgende"/>
        <w:spacing w:after="0"/>
        <w:rPr>
          <w:color w:val="000000" w:themeColor="text1"/>
          <w:sz w:val="22"/>
          <w:szCs w:val="22"/>
        </w:rPr>
      </w:pPr>
      <w:bookmarkStart w:id="115" w:name="_Toc418858340"/>
      <w:r w:rsidRPr="00E65EDB">
        <w:rPr>
          <w:color w:val="000000" w:themeColor="text1"/>
          <w:sz w:val="22"/>
          <w:szCs w:val="22"/>
        </w:rPr>
        <w:t xml:space="preserve">Tableau annexe </w:t>
      </w:r>
      <w:r w:rsidR="00E72F8E" w:rsidRPr="00E65EDB">
        <w:rPr>
          <w:color w:val="000000" w:themeColor="text1"/>
          <w:sz w:val="22"/>
          <w:szCs w:val="22"/>
        </w:rPr>
        <w:fldChar w:fldCharType="begin"/>
      </w:r>
      <w:r w:rsidRPr="00E65EDB">
        <w:rPr>
          <w:color w:val="000000" w:themeColor="text1"/>
          <w:sz w:val="22"/>
          <w:szCs w:val="22"/>
        </w:rPr>
        <w:instrText xml:space="preserve"> SEQ Tableau_annexe \* ARABIC </w:instrText>
      </w:r>
      <w:r w:rsidR="00E72F8E" w:rsidRPr="00E65EDB">
        <w:rPr>
          <w:color w:val="000000" w:themeColor="text1"/>
          <w:sz w:val="22"/>
          <w:szCs w:val="22"/>
        </w:rPr>
        <w:fldChar w:fldCharType="separate"/>
      </w:r>
      <w:r>
        <w:rPr>
          <w:noProof/>
          <w:color w:val="000000" w:themeColor="text1"/>
          <w:sz w:val="22"/>
          <w:szCs w:val="22"/>
        </w:rPr>
        <w:t>7</w:t>
      </w:r>
      <w:r w:rsidR="00E72F8E" w:rsidRPr="00E65EDB">
        <w:rPr>
          <w:color w:val="000000" w:themeColor="text1"/>
          <w:sz w:val="22"/>
          <w:szCs w:val="22"/>
        </w:rPr>
        <w:fldChar w:fldCharType="end"/>
      </w:r>
      <w:r w:rsidR="009844A2" w:rsidRPr="00E65EDB">
        <w:rPr>
          <w:color w:val="000000" w:themeColor="text1"/>
          <w:sz w:val="22"/>
          <w:szCs w:val="22"/>
        </w:rPr>
        <w:t xml:space="preserve">: Répartition des </w:t>
      </w:r>
      <w:r w:rsidR="00C869FC">
        <w:rPr>
          <w:color w:val="000000" w:themeColor="text1"/>
          <w:sz w:val="22"/>
          <w:szCs w:val="22"/>
        </w:rPr>
        <w:t>dépenses courantes de santé</w:t>
      </w:r>
      <w:r w:rsidR="009844A2" w:rsidRPr="00E65EDB">
        <w:rPr>
          <w:color w:val="000000" w:themeColor="text1"/>
          <w:sz w:val="22"/>
          <w:szCs w:val="22"/>
        </w:rPr>
        <w:t xml:space="preserve"> selon les maladies/affections et les régimes de financement en francs CFA</w:t>
      </w:r>
      <w:bookmarkEnd w:id="115"/>
    </w:p>
    <w:tbl>
      <w:tblPr>
        <w:tblW w:w="5000" w:type="pct"/>
        <w:tblCellMar>
          <w:left w:w="70" w:type="dxa"/>
          <w:right w:w="70" w:type="dxa"/>
        </w:tblCellMar>
        <w:tblLook w:val="04A0"/>
      </w:tblPr>
      <w:tblGrid>
        <w:gridCol w:w="3996"/>
        <w:gridCol w:w="3155"/>
        <w:gridCol w:w="1725"/>
        <w:gridCol w:w="2135"/>
        <w:gridCol w:w="2135"/>
      </w:tblGrid>
      <w:tr w:rsidR="0015487E" w:rsidRPr="0015487E" w:rsidTr="0015487E">
        <w:trPr>
          <w:trHeight w:val="1020"/>
        </w:trPr>
        <w:tc>
          <w:tcPr>
            <w:tcW w:w="152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bookmarkStart w:id="116" w:name="_Toc418858341"/>
            <w:r w:rsidRPr="0015487E">
              <w:rPr>
                <w:rFonts w:ascii="Arial Unicode MS" w:eastAsia="Arial Unicode MS" w:hAnsi="Arial Unicode MS" w:cs="Arial Unicode MS" w:hint="eastAsia"/>
                <w:b/>
                <w:sz w:val="16"/>
                <w:szCs w:val="16"/>
                <w:lang w:eastAsia="fr-FR"/>
              </w:rPr>
              <w:t xml:space="preserve">Classification des maladies / affections </w:t>
            </w:r>
          </w:p>
        </w:tc>
        <w:tc>
          <w:tcPr>
            <w:tcW w:w="1200" w:type="pct"/>
            <w:tcBorders>
              <w:top w:val="single" w:sz="4" w:space="0" w:color="auto"/>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Régimes de l'administration publique et régimes contributifs obligatoires de financement de la santé </w:t>
            </w:r>
          </w:p>
        </w:tc>
        <w:tc>
          <w:tcPr>
            <w:tcW w:w="656" w:type="pct"/>
            <w:tcBorders>
              <w:top w:val="single" w:sz="4" w:space="0" w:color="auto"/>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Régimes volontaire de paiement privé des soins de santé </w:t>
            </w:r>
          </w:p>
        </w:tc>
        <w:tc>
          <w:tcPr>
            <w:tcW w:w="812" w:type="pct"/>
            <w:tcBorders>
              <w:top w:val="single" w:sz="4" w:space="0" w:color="auto"/>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Paiement direct des ménages </w:t>
            </w:r>
          </w:p>
        </w:tc>
        <w:tc>
          <w:tcPr>
            <w:tcW w:w="812" w:type="pct"/>
            <w:tcBorders>
              <w:top w:val="single" w:sz="4" w:space="0" w:color="auto"/>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Ensemble </w:t>
            </w:r>
          </w:p>
        </w:tc>
      </w:tr>
      <w:tr w:rsidR="0015487E" w:rsidRPr="0015487E" w:rsidTr="0015487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Maladies infectieuses et parasitaires </w:t>
            </w:r>
          </w:p>
        </w:tc>
      </w:tr>
      <w:tr w:rsidR="0015487E" w:rsidRPr="0015487E" w:rsidTr="0015487E">
        <w:trPr>
          <w:trHeight w:val="51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VIH/SIDA et autres Maladies Sexuellement Transmissibles (MSTs)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9 169 907 998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4 324 086 885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13 493 994 883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Tuberculose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6 136 588 203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1 788 052 999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7 924 641 202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Paludisme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22 590 326 411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26 641 847 958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72 210 999 318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121 443 173 687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Infections des voies respiratoires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6 354 030 126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872 803 375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21 209 618 124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28 436 451 625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Maladies diarrhéiques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1 275 828 858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2 821 661 996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3 969 714 622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8 067 205 476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Maladies tropicales négligées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1 014 789 565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661 727 455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207 937 433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1 884 454 452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Maladies évitables par la vaccination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14 741 520 337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5 000 415 091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19 741 935 428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Maladies à virus EBola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831 925 778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820 128 537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1 652 054 315   </w:t>
            </w:r>
          </w:p>
        </w:tc>
      </w:tr>
      <w:tr w:rsidR="0015487E" w:rsidRPr="0015487E" w:rsidTr="0015487E">
        <w:trPr>
          <w:trHeight w:val="51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Autres maladies, et maladies non spécifiées, infectieuses et parasitaires (n.c.a.)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6 556 429 558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914 022 202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21 776 720 213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29 247 171 973   </w:t>
            </w:r>
          </w:p>
        </w:tc>
      </w:tr>
      <w:tr w:rsidR="0015487E" w:rsidRPr="0015487E" w:rsidTr="0015487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Santé de la reproduction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Affections maternelles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4 793 024 749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8 419 392 647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7 920 525 841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21 132 943 238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Affections périnatales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1 564 001 462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7 362 305 746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8 926 307 208   </w:t>
            </w:r>
          </w:p>
        </w:tc>
      </w:tr>
      <w:tr w:rsidR="0015487E" w:rsidRPr="0015487E" w:rsidTr="0015487E">
        <w:trPr>
          <w:trHeight w:val="51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Prise en charge d'une contraception (planning familial)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28 072 809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9 965 059 204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9 993 132 014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Carences nutritionnelles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Carences nutritionnelles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8 207 218 975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37 790 204 221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45 997 423 196   </w:t>
            </w:r>
          </w:p>
        </w:tc>
      </w:tr>
      <w:tr w:rsidR="0015487E" w:rsidRPr="0015487E" w:rsidTr="0015487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Maladies non transmissibles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Tumeurs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148 934 790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148 934 790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Maladies endocriniennes et métaboliques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2 871 000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15 005 000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17 876 000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Maladies cardiovasculaires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7 143 404 977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1 091 100 452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26 540 377 760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34 774 883 189   </w:t>
            </w:r>
          </w:p>
        </w:tc>
      </w:tr>
      <w:tr w:rsidR="0015487E" w:rsidRPr="0015487E" w:rsidTr="0015487E">
        <w:trPr>
          <w:trHeight w:val="51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Troubles mentaux et du comportement, et affections neurologiques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12 937 738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2 009 523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56 710 209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71 657 470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Maladies bucco-dentaires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1 050 970 797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1 050 970 797   </w:t>
            </w:r>
          </w:p>
        </w:tc>
      </w:tr>
      <w:tr w:rsidR="0015487E" w:rsidRPr="0015487E" w:rsidTr="0015487E">
        <w:trPr>
          <w:trHeight w:val="51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Autres maladies, et maladies non spécifiées, non transmissibles (n.c.a)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748 775 044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19 257 146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151 227 224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919 259 414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Traumatismes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2 970 888 583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366 606 515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8 922 406 198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12 259 901 297   </w:t>
            </w:r>
          </w:p>
        </w:tc>
      </w:tr>
      <w:tr w:rsidR="0015487E" w:rsidRPr="0015487E" w:rsidTr="0015487E">
        <w:trPr>
          <w:trHeight w:val="510"/>
        </w:trPr>
        <w:tc>
          <w:tcPr>
            <w:tcW w:w="1520" w:type="pct"/>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Autres maladies/affections et maladies/affections non spécifiées (n.c.a.)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6 987 120 652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1 071 091 965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26 067 792 686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34 126 005 302   </w:t>
            </w:r>
          </w:p>
        </w:tc>
      </w:tr>
      <w:tr w:rsidR="0015487E" w:rsidRPr="0015487E" w:rsidTr="0015487E">
        <w:trPr>
          <w:trHeight w:val="300"/>
        </w:trPr>
        <w:tc>
          <w:tcPr>
            <w:tcW w:w="1520" w:type="pct"/>
            <w:tcBorders>
              <w:top w:val="nil"/>
              <w:left w:val="single" w:sz="4" w:space="0" w:color="auto"/>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Total </w:t>
            </w:r>
          </w:p>
        </w:tc>
        <w:tc>
          <w:tcPr>
            <w:tcW w:w="1200"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102 329 568 410   </w:t>
            </w:r>
          </w:p>
        </w:tc>
        <w:tc>
          <w:tcPr>
            <w:tcW w:w="656"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189 034 029 628   </w:t>
            </w:r>
          </w:p>
        </w:tc>
        <w:tc>
          <w:tcPr>
            <w:tcW w:w="812" w:type="pct"/>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401 310 376 956   </w:t>
            </w:r>
          </w:p>
        </w:tc>
      </w:tr>
    </w:tbl>
    <w:p w:rsidR="00B06DAB" w:rsidRDefault="00B06DAB" w:rsidP="00B06DAB">
      <w:pPr>
        <w:pStyle w:val="Lgende"/>
        <w:spacing w:before="240"/>
        <w:ind w:left="1843" w:hanging="1843"/>
        <w:rPr>
          <w:color w:val="000000" w:themeColor="text1"/>
          <w:sz w:val="22"/>
          <w:szCs w:val="22"/>
        </w:rPr>
      </w:pPr>
    </w:p>
    <w:p w:rsidR="00CD7AD3" w:rsidRPr="00E65EDB" w:rsidRDefault="00E65EDB" w:rsidP="00B06DAB">
      <w:pPr>
        <w:pStyle w:val="Lgende"/>
        <w:spacing w:before="240"/>
        <w:ind w:left="1843" w:hanging="1843"/>
        <w:rPr>
          <w:color w:val="000000" w:themeColor="text1"/>
          <w:sz w:val="22"/>
          <w:szCs w:val="22"/>
        </w:rPr>
      </w:pPr>
      <w:r w:rsidRPr="00E65EDB">
        <w:rPr>
          <w:color w:val="000000" w:themeColor="text1"/>
          <w:sz w:val="22"/>
          <w:szCs w:val="22"/>
        </w:rPr>
        <w:t xml:space="preserve">Tableau annexe </w:t>
      </w:r>
      <w:r w:rsidR="00E72F8E" w:rsidRPr="00E65EDB">
        <w:rPr>
          <w:color w:val="000000" w:themeColor="text1"/>
          <w:sz w:val="22"/>
          <w:szCs w:val="22"/>
        </w:rPr>
        <w:fldChar w:fldCharType="begin"/>
      </w:r>
      <w:r w:rsidRPr="00E65EDB">
        <w:rPr>
          <w:color w:val="000000" w:themeColor="text1"/>
          <w:sz w:val="22"/>
          <w:szCs w:val="22"/>
        </w:rPr>
        <w:instrText xml:space="preserve"> SEQ Tableau_annexe \* ARABIC </w:instrText>
      </w:r>
      <w:r w:rsidR="00E72F8E" w:rsidRPr="00E65EDB">
        <w:rPr>
          <w:color w:val="000000" w:themeColor="text1"/>
          <w:sz w:val="22"/>
          <w:szCs w:val="22"/>
        </w:rPr>
        <w:fldChar w:fldCharType="separate"/>
      </w:r>
      <w:r w:rsidRPr="00E65EDB">
        <w:rPr>
          <w:noProof/>
          <w:color w:val="000000" w:themeColor="text1"/>
          <w:sz w:val="22"/>
          <w:szCs w:val="22"/>
        </w:rPr>
        <w:t>8</w:t>
      </w:r>
      <w:r w:rsidR="00E72F8E" w:rsidRPr="00E65EDB">
        <w:rPr>
          <w:color w:val="000000" w:themeColor="text1"/>
          <w:sz w:val="22"/>
          <w:szCs w:val="22"/>
        </w:rPr>
        <w:fldChar w:fldCharType="end"/>
      </w:r>
      <w:r w:rsidR="00DE5EDA" w:rsidRPr="00E65EDB">
        <w:rPr>
          <w:color w:val="000000" w:themeColor="text1"/>
          <w:sz w:val="22"/>
          <w:szCs w:val="22"/>
        </w:rPr>
        <w:t xml:space="preserve">: Répartition des dépenses d’investissement de santé selon les </w:t>
      </w:r>
      <w:r w:rsidR="00DE5EDA" w:rsidRPr="00E65EDB">
        <w:rPr>
          <w:rFonts w:eastAsia="Times New Roman"/>
          <w:bCs w:val="0"/>
          <w:color w:val="000000" w:themeColor="text1"/>
          <w:sz w:val="22"/>
          <w:szCs w:val="22"/>
          <w:lang w:eastAsia="fr-FR"/>
        </w:rPr>
        <w:t>Unités institutionnelles fournissant des revenus aux régimes de financement</w:t>
      </w:r>
      <w:r w:rsidR="00DE5EDA" w:rsidRPr="00E65EDB">
        <w:rPr>
          <w:color w:val="000000" w:themeColor="text1"/>
          <w:sz w:val="22"/>
          <w:szCs w:val="22"/>
        </w:rPr>
        <w:t xml:space="preserve"> en francs CFA</w:t>
      </w:r>
      <w:bookmarkEnd w:id="116"/>
    </w:p>
    <w:tbl>
      <w:tblPr>
        <w:tblW w:w="11260" w:type="dxa"/>
        <w:tblInd w:w="56" w:type="dxa"/>
        <w:tblCellMar>
          <w:left w:w="70" w:type="dxa"/>
          <w:right w:w="70" w:type="dxa"/>
        </w:tblCellMar>
        <w:tblLook w:val="04A0"/>
      </w:tblPr>
      <w:tblGrid>
        <w:gridCol w:w="2440"/>
        <w:gridCol w:w="1880"/>
        <w:gridCol w:w="1420"/>
        <w:gridCol w:w="1720"/>
        <w:gridCol w:w="1740"/>
        <w:gridCol w:w="2060"/>
      </w:tblGrid>
      <w:tr w:rsidR="0015487E" w:rsidRPr="0015487E" w:rsidTr="0015487E">
        <w:trPr>
          <w:trHeight w:val="300"/>
        </w:trPr>
        <w:tc>
          <w:tcPr>
            <w:tcW w:w="11260" w:type="dxa"/>
            <w:gridSpan w:val="6"/>
            <w:tcBorders>
              <w:top w:val="single" w:sz="4" w:space="0" w:color="auto"/>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Unités institutionnelles fournissant des revenus aux régimes de financement</w:t>
            </w:r>
          </w:p>
        </w:tc>
      </w:tr>
      <w:tr w:rsidR="0015487E" w:rsidRPr="0015487E" w:rsidTr="0015487E">
        <w:trPr>
          <w:trHeight w:val="300"/>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Comptes de capital</w:t>
            </w:r>
          </w:p>
        </w:tc>
        <w:tc>
          <w:tcPr>
            <w:tcW w:w="1880" w:type="dxa"/>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Administration publique</w:t>
            </w:r>
          </w:p>
        </w:tc>
        <w:tc>
          <w:tcPr>
            <w:tcW w:w="1420" w:type="dxa"/>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Entreprises</w:t>
            </w:r>
          </w:p>
        </w:tc>
        <w:tc>
          <w:tcPr>
            <w:tcW w:w="1720" w:type="dxa"/>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ISBLSM</w:t>
            </w:r>
          </w:p>
        </w:tc>
        <w:tc>
          <w:tcPr>
            <w:tcW w:w="1740" w:type="dxa"/>
            <w:tcBorders>
              <w:top w:val="nil"/>
              <w:left w:val="nil"/>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Reste du monde</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r>
      <w:tr w:rsidR="0015487E" w:rsidRPr="0015487E" w:rsidTr="0015487E">
        <w:trPr>
          <w:trHeight w:val="300"/>
        </w:trPr>
        <w:tc>
          <w:tcPr>
            <w:tcW w:w="1126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Formation brute de capital</w:t>
            </w:r>
          </w:p>
        </w:tc>
      </w:tr>
      <w:tr w:rsidR="0015487E" w:rsidRPr="0015487E" w:rsidTr="0015487E">
        <w:trPr>
          <w:trHeight w:val="510"/>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Bâtiments résidentiels et non résidentiels</w:t>
            </w:r>
          </w:p>
        </w:tc>
        <w:tc>
          <w:tcPr>
            <w:tcW w:w="188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232 770 000   </w:t>
            </w:r>
          </w:p>
        </w:tc>
        <w:tc>
          <w:tcPr>
            <w:tcW w:w="14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7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26 399 000   </w:t>
            </w:r>
          </w:p>
        </w:tc>
        <w:tc>
          <w:tcPr>
            <w:tcW w:w="174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966 774 199   </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1 225 943 199   </w:t>
            </w:r>
          </w:p>
        </w:tc>
      </w:tr>
      <w:tr w:rsidR="0015487E" w:rsidRPr="0015487E" w:rsidTr="0015487E">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Autres ouvrages</w:t>
            </w:r>
          </w:p>
        </w:tc>
        <w:tc>
          <w:tcPr>
            <w:tcW w:w="188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4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7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1 272 000   </w:t>
            </w:r>
          </w:p>
        </w:tc>
        <w:tc>
          <w:tcPr>
            <w:tcW w:w="174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1 272 000   </w:t>
            </w:r>
          </w:p>
        </w:tc>
      </w:tr>
      <w:tr w:rsidR="0015487E" w:rsidRPr="0015487E" w:rsidTr="0015487E">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Equipements médicaux</w:t>
            </w:r>
          </w:p>
        </w:tc>
        <w:tc>
          <w:tcPr>
            <w:tcW w:w="188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618 905 000   </w:t>
            </w:r>
          </w:p>
        </w:tc>
        <w:tc>
          <w:tcPr>
            <w:tcW w:w="14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7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80 299 000   </w:t>
            </w:r>
          </w:p>
        </w:tc>
        <w:tc>
          <w:tcPr>
            <w:tcW w:w="174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2 189 315 559   </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2 888 519 559   </w:t>
            </w:r>
          </w:p>
        </w:tc>
      </w:tr>
      <w:tr w:rsidR="0015487E" w:rsidRPr="0015487E" w:rsidTr="0015487E">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Matériel de transport</w:t>
            </w:r>
          </w:p>
        </w:tc>
        <w:tc>
          <w:tcPr>
            <w:tcW w:w="188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10 391 449 988   </w:t>
            </w:r>
          </w:p>
        </w:tc>
        <w:tc>
          <w:tcPr>
            <w:tcW w:w="14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12 000 000   </w:t>
            </w:r>
          </w:p>
        </w:tc>
        <w:tc>
          <w:tcPr>
            <w:tcW w:w="17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81 158 000   </w:t>
            </w:r>
          </w:p>
        </w:tc>
        <w:tc>
          <w:tcPr>
            <w:tcW w:w="174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5 720 441 545   </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16 205 049 533   </w:t>
            </w:r>
          </w:p>
        </w:tc>
      </w:tr>
      <w:tr w:rsidR="0015487E" w:rsidRPr="0015487E" w:rsidTr="0015487E">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Equipements TIC</w:t>
            </w:r>
          </w:p>
        </w:tc>
        <w:tc>
          <w:tcPr>
            <w:tcW w:w="188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6 700 000   </w:t>
            </w:r>
          </w:p>
        </w:tc>
        <w:tc>
          <w:tcPr>
            <w:tcW w:w="14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7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13 500 000   </w:t>
            </w:r>
          </w:p>
        </w:tc>
        <w:tc>
          <w:tcPr>
            <w:tcW w:w="174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187 909 738   </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208 109 738   </w:t>
            </w:r>
          </w:p>
        </w:tc>
      </w:tr>
      <w:tr w:rsidR="0015487E" w:rsidRPr="0015487E" w:rsidTr="0015487E">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Machines et équipements nca</w:t>
            </w:r>
          </w:p>
        </w:tc>
        <w:tc>
          <w:tcPr>
            <w:tcW w:w="188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122 319 000   </w:t>
            </w:r>
          </w:p>
        </w:tc>
        <w:tc>
          <w:tcPr>
            <w:tcW w:w="14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7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6 811 000   </w:t>
            </w:r>
          </w:p>
        </w:tc>
        <w:tc>
          <w:tcPr>
            <w:tcW w:w="174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586 245 727   </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715 375 727   </w:t>
            </w:r>
          </w:p>
        </w:tc>
      </w:tr>
      <w:tr w:rsidR="0015487E" w:rsidRPr="0015487E" w:rsidTr="0015487E">
        <w:trPr>
          <w:trHeight w:val="510"/>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Formation brute de capital non spécifiée (n.c.a.)</w:t>
            </w:r>
          </w:p>
        </w:tc>
        <w:tc>
          <w:tcPr>
            <w:tcW w:w="188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387 229 693   </w:t>
            </w:r>
          </w:p>
        </w:tc>
        <w:tc>
          <w:tcPr>
            <w:tcW w:w="14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7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74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692 128 390   </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1 079 358 083   </w:t>
            </w:r>
          </w:p>
        </w:tc>
      </w:tr>
      <w:tr w:rsidR="0015487E" w:rsidRPr="0015487E" w:rsidTr="0015487E">
        <w:trPr>
          <w:trHeight w:val="315"/>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Total Formation brute de capital</w:t>
            </w:r>
          </w:p>
        </w:tc>
        <w:tc>
          <w:tcPr>
            <w:tcW w:w="188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11 759 373 681   </w:t>
            </w:r>
          </w:p>
        </w:tc>
        <w:tc>
          <w:tcPr>
            <w:tcW w:w="14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12 000 000   </w:t>
            </w:r>
          </w:p>
        </w:tc>
        <w:tc>
          <w:tcPr>
            <w:tcW w:w="17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209 439 000   </w:t>
            </w:r>
          </w:p>
        </w:tc>
        <w:tc>
          <w:tcPr>
            <w:tcW w:w="174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10 342 815 159   </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22 323 627 840   </w:t>
            </w:r>
          </w:p>
        </w:tc>
      </w:tr>
      <w:tr w:rsidR="0015487E" w:rsidRPr="0015487E" w:rsidTr="0015487E">
        <w:trPr>
          <w:trHeight w:val="300"/>
        </w:trPr>
        <w:tc>
          <w:tcPr>
            <w:tcW w:w="1126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15487E" w:rsidRPr="0015487E" w:rsidRDefault="0015487E" w:rsidP="0015487E">
            <w:pPr>
              <w:autoSpaceDE/>
              <w:autoSpaceDN/>
              <w:adjustRightInd/>
              <w:spacing w:after="0" w:line="240" w:lineRule="auto"/>
              <w:jc w:val="center"/>
              <w:rPr>
                <w:rFonts w:ascii="Arial Unicode MS" w:eastAsia="Arial Unicode MS" w:hAnsi="Arial Unicode MS" w:cs="Arial Unicode MS"/>
                <w:b/>
                <w:sz w:val="16"/>
                <w:szCs w:val="16"/>
                <w:u w:val="single"/>
                <w:lang w:eastAsia="fr-FR"/>
              </w:rPr>
            </w:pPr>
            <w:r w:rsidRPr="0015487E">
              <w:rPr>
                <w:rFonts w:ascii="Arial Unicode MS" w:eastAsia="Arial Unicode MS" w:hAnsi="Arial Unicode MS" w:cs="Arial Unicode MS" w:hint="eastAsia"/>
                <w:b/>
                <w:sz w:val="16"/>
                <w:szCs w:val="16"/>
                <w:u w:val="single"/>
                <w:lang w:eastAsia="fr-FR"/>
              </w:rPr>
              <w:t>Postes pour mémoire</w:t>
            </w:r>
          </w:p>
        </w:tc>
      </w:tr>
      <w:tr w:rsidR="0015487E" w:rsidRPr="0015487E" w:rsidTr="0015487E">
        <w:trPr>
          <w:trHeight w:val="510"/>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Recherche et développement en santé</w:t>
            </w:r>
          </w:p>
        </w:tc>
        <w:tc>
          <w:tcPr>
            <w:tcW w:w="188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3 365 040 783   </w:t>
            </w:r>
          </w:p>
        </w:tc>
        <w:tc>
          <w:tcPr>
            <w:tcW w:w="14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7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139 681 000   </w:t>
            </w:r>
          </w:p>
        </w:tc>
        <w:tc>
          <w:tcPr>
            <w:tcW w:w="174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105 554 000   </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3 610 275 783   </w:t>
            </w:r>
          </w:p>
        </w:tc>
      </w:tr>
      <w:tr w:rsidR="0015487E" w:rsidRPr="0015487E" w:rsidTr="0015487E">
        <w:trPr>
          <w:trHeight w:val="510"/>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Education et formation du personnel de santé</w:t>
            </w:r>
          </w:p>
        </w:tc>
        <w:tc>
          <w:tcPr>
            <w:tcW w:w="188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18 492 000   </w:t>
            </w:r>
          </w:p>
        </w:tc>
        <w:tc>
          <w:tcPr>
            <w:tcW w:w="14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72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w:t>
            </w:r>
          </w:p>
        </w:tc>
        <w:tc>
          <w:tcPr>
            <w:tcW w:w="174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15487E">
              <w:rPr>
                <w:rFonts w:ascii="Arial Unicode MS" w:eastAsia="Arial Unicode MS" w:hAnsi="Arial Unicode MS" w:cs="Arial Unicode MS" w:hint="eastAsia"/>
                <w:bCs w:val="0"/>
                <w:sz w:val="16"/>
                <w:szCs w:val="16"/>
                <w:lang w:eastAsia="fr-FR"/>
              </w:rPr>
              <w:t xml:space="preserve">              413 755 134   </w:t>
            </w:r>
          </w:p>
        </w:tc>
        <w:tc>
          <w:tcPr>
            <w:tcW w:w="2060" w:type="dxa"/>
            <w:tcBorders>
              <w:top w:val="nil"/>
              <w:left w:val="nil"/>
              <w:bottom w:val="single" w:sz="4" w:space="0" w:color="auto"/>
              <w:right w:val="single" w:sz="4" w:space="0" w:color="auto"/>
            </w:tcBorders>
            <w:shd w:val="clear" w:color="auto" w:fill="auto"/>
            <w:noWrap/>
            <w:hideMark/>
          </w:tcPr>
          <w:p w:rsidR="0015487E" w:rsidRPr="0015487E" w:rsidRDefault="0015487E" w:rsidP="0015487E">
            <w:pPr>
              <w:autoSpaceDE/>
              <w:autoSpaceDN/>
              <w:adjustRightInd/>
              <w:spacing w:after="0" w:line="240" w:lineRule="auto"/>
              <w:jc w:val="righ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 xml:space="preserve">            432 247 134   </w:t>
            </w:r>
          </w:p>
        </w:tc>
      </w:tr>
      <w:tr w:rsidR="0015487E" w:rsidRPr="0015487E" w:rsidTr="0015487E">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15487E" w:rsidRPr="0015487E" w:rsidRDefault="0015487E" w:rsidP="0015487E">
            <w:pPr>
              <w:autoSpaceDE/>
              <w:autoSpaceDN/>
              <w:adjustRightInd/>
              <w:spacing w:after="0" w:line="240" w:lineRule="auto"/>
              <w:jc w:val="left"/>
              <w:rPr>
                <w:rFonts w:ascii="Arial Unicode MS" w:eastAsia="Arial Unicode MS" w:hAnsi="Arial Unicode MS" w:cs="Arial Unicode MS"/>
                <w:b/>
                <w:sz w:val="16"/>
                <w:szCs w:val="16"/>
                <w:lang w:eastAsia="fr-FR"/>
              </w:rPr>
            </w:pPr>
            <w:r w:rsidRPr="0015487E">
              <w:rPr>
                <w:rFonts w:ascii="Arial Unicode MS" w:eastAsia="Arial Unicode MS" w:hAnsi="Arial Unicode MS" w:cs="Arial Unicode MS" w:hint="eastAsia"/>
                <w:b/>
                <w:sz w:val="16"/>
                <w:szCs w:val="16"/>
                <w:lang w:eastAsia="fr-FR"/>
              </w:rPr>
              <w:t>Total postes pour mémoire</w:t>
            </w:r>
          </w:p>
        </w:tc>
        <w:tc>
          <w:tcPr>
            <w:tcW w:w="1880" w:type="dxa"/>
            <w:tcBorders>
              <w:top w:val="nil"/>
              <w:left w:val="nil"/>
              <w:bottom w:val="single" w:sz="4" w:space="0" w:color="auto"/>
              <w:right w:val="single" w:sz="4" w:space="0" w:color="auto"/>
            </w:tcBorders>
            <w:shd w:val="clear" w:color="auto" w:fill="auto"/>
            <w:noWrap/>
            <w:vAlign w:val="bottom"/>
            <w:hideMark/>
          </w:tcPr>
          <w:p w:rsidR="0015487E" w:rsidRPr="0015487E" w:rsidRDefault="0015487E" w:rsidP="0015487E">
            <w:pPr>
              <w:autoSpaceDE/>
              <w:autoSpaceDN/>
              <w:adjustRightInd/>
              <w:spacing w:after="0" w:line="240" w:lineRule="auto"/>
              <w:jc w:val="left"/>
              <w:rPr>
                <w:rFonts w:ascii="Calibri" w:eastAsia="Times New Roman" w:hAnsi="Calibri"/>
                <w:b/>
                <w:lang w:eastAsia="fr-FR"/>
              </w:rPr>
            </w:pPr>
            <w:r w:rsidRPr="0015487E">
              <w:rPr>
                <w:rFonts w:ascii="Calibri" w:eastAsia="Times New Roman" w:hAnsi="Calibri"/>
                <w:b/>
                <w:sz w:val="22"/>
                <w:szCs w:val="22"/>
                <w:lang w:eastAsia="fr-FR"/>
              </w:rPr>
              <w:t xml:space="preserve">          3 383 532 783   </w:t>
            </w:r>
          </w:p>
        </w:tc>
        <w:tc>
          <w:tcPr>
            <w:tcW w:w="1420" w:type="dxa"/>
            <w:tcBorders>
              <w:top w:val="nil"/>
              <w:left w:val="nil"/>
              <w:bottom w:val="single" w:sz="4" w:space="0" w:color="auto"/>
              <w:right w:val="single" w:sz="4" w:space="0" w:color="auto"/>
            </w:tcBorders>
            <w:shd w:val="clear" w:color="auto" w:fill="auto"/>
            <w:noWrap/>
            <w:vAlign w:val="bottom"/>
            <w:hideMark/>
          </w:tcPr>
          <w:p w:rsidR="0015487E" w:rsidRPr="0015487E" w:rsidRDefault="0015487E" w:rsidP="0015487E">
            <w:pPr>
              <w:autoSpaceDE/>
              <w:autoSpaceDN/>
              <w:adjustRightInd/>
              <w:spacing w:after="0" w:line="240" w:lineRule="auto"/>
              <w:jc w:val="left"/>
              <w:rPr>
                <w:rFonts w:ascii="Calibri" w:eastAsia="Times New Roman" w:hAnsi="Calibri"/>
                <w:b/>
                <w:lang w:eastAsia="fr-FR"/>
              </w:rPr>
            </w:pPr>
            <w:r w:rsidRPr="0015487E">
              <w:rPr>
                <w:rFonts w:ascii="Calibri" w:eastAsia="Times New Roman" w:hAnsi="Calibri"/>
                <w:b/>
                <w:sz w:val="22"/>
                <w:szCs w:val="22"/>
                <w:lang w:eastAsia="fr-FR"/>
              </w:rPr>
              <w:t xml:space="preserve">                       -     </w:t>
            </w:r>
          </w:p>
        </w:tc>
        <w:tc>
          <w:tcPr>
            <w:tcW w:w="1720" w:type="dxa"/>
            <w:tcBorders>
              <w:top w:val="nil"/>
              <w:left w:val="nil"/>
              <w:bottom w:val="single" w:sz="4" w:space="0" w:color="auto"/>
              <w:right w:val="single" w:sz="4" w:space="0" w:color="auto"/>
            </w:tcBorders>
            <w:shd w:val="clear" w:color="auto" w:fill="auto"/>
            <w:noWrap/>
            <w:vAlign w:val="bottom"/>
            <w:hideMark/>
          </w:tcPr>
          <w:p w:rsidR="0015487E" w:rsidRPr="0015487E" w:rsidRDefault="0015487E" w:rsidP="0015487E">
            <w:pPr>
              <w:autoSpaceDE/>
              <w:autoSpaceDN/>
              <w:adjustRightInd/>
              <w:spacing w:after="0" w:line="240" w:lineRule="auto"/>
              <w:jc w:val="left"/>
              <w:rPr>
                <w:rFonts w:ascii="Calibri" w:eastAsia="Times New Roman" w:hAnsi="Calibri"/>
                <w:b/>
                <w:lang w:eastAsia="fr-FR"/>
              </w:rPr>
            </w:pPr>
            <w:r w:rsidRPr="0015487E">
              <w:rPr>
                <w:rFonts w:ascii="Calibri" w:eastAsia="Times New Roman" w:hAnsi="Calibri"/>
                <w:b/>
                <w:sz w:val="22"/>
                <w:szCs w:val="22"/>
                <w:lang w:eastAsia="fr-FR"/>
              </w:rPr>
              <w:t xml:space="preserve">          139 681 000   </w:t>
            </w:r>
          </w:p>
        </w:tc>
        <w:tc>
          <w:tcPr>
            <w:tcW w:w="1740" w:type="dxa"/>
            <w:tcBorders>
              <w:top w:val="nil"/>
              <w:left w:val="nil"/>
              <w:bottom w:val="single" w:sz="4" w:space="0" w:color="auto"/>
              <w:right w:val="single" w:sz="4" w:space="0" w:color="auto"/>
            </w:tcBorders>
            <w:shd w:val="clear" w:color="auto" w:fill="auto"/>
            <w:noWrap/>
            <w:vAlign w:val="bottom"/>
            <w:hideMark/>
          </w:tcPr>
          <w:p w:rsidR="0015487E" w:rsidRPr="0015487E" w:rsidRDefault="0015487E" w:rsidP="0015487E">
            <w:pPr>
              <w:autoSpaceDE/>
              <w:autoSpaceDN/>
              <w:adjustRightInd/>
              <w:spacing w:after="0" w:line="240" w:lineRule="auto"/>
              <w:jc w:val="left"/>
              <w:rPr>
                <w:rFonts w:ascii="Calibri" w:eastAsia="Times New Roman" w:hAnsi="Calibri"/>
                <w:b/>
                <w:lang w:eastAsia="fr-FR"/>
              </w:rPr>
            </w:pPr>
            <w:r w:rsidRPr="0015487E">
              <w:rPr>
                <w:rFonts w:ascii="Calibri" w:eastAsia="Times New Roman" w:hAnsi="Calibri"/>
                <w:b/>
                <w:sz w:val="22"/>
                <w:szCs w:val="22"/>
                <w:lang w:eastAsia="fr-FR"/>
              </w:rPr>
              <w:t xml:space="preserve">           519 309 134   </w:t>
            </w:r>
          </w:p>
        </w:tc>
        <w:tc>
          <w:tcPr>
            <w:tcW w:w="2060" w:type="dxa"/>
            <w:tcBorders>
              <w:top w:val="nil"/>
              <w:left w:val="nil"/>
              <w:bottom w:val="single" w:sz="4" w:space="0" w:color="auto"/>
              <w:right w:val="single" w:sz="4" w:space="0" w:color="auto"/>
            </w:tcBorders>
            <w:shd w:val="clear" w:color="auto" w:fill="auto"/>
            <w:noWrap/>
            <w:vAlign w:val="bottom"/>
            <w:hideMark/>
          </w:tcPr>
          <w:p w:rsidR="0015487E" w:rsidRPr="0015487E" w:rsidRDefault="0015487E" w:rsidP="0015487E">
            <w:pPr>
              <w:autoSpaceDE/>
              <w:autoSpaceDN/>
              <w:adjustRightInd/>
              <w:spacing w:after="0" w:line="240" w:lineRule="auto"/>
              <w:jc w:val="left"/>
              <w:rPr>
                <w:rFonts w:ascii="Calibri" w:eastAsia="Times New Roman" w:hAnsi="Calibri"/>
                <w:b/>
                <w:lang w:eastAsia="fr-FR"/>
              </w:rPr>
            </w:pPr>
            <w:r w:rsidRPr="0015487E">
              <w:rPr>
                <w:rFonts w:ascii="Calibri" w:eastAsia="Times New Roman" w:hAnsi="Calibri"/>
                <w:b/>
                <w:sz w:val="22"/>
                <w:szCs w:val="22"/>
                <w:lang w:eastAsia="fr-FR"/>
              </w:rPr>
              <w:t xml:space="preserve">              4 042 522 917   </w:t>
            </w:r>
          </w:p>
        </w:tc>
      </w:tr>
    </w:tbl>
    <w:p w:rsidR="00AE6F58" w:rsidRPr="00D95DBC" w:rsidRDefault="00AE6F58" w:rsidP="001B67B0">
      <w:pPr>
        <w:spacing w:before="240" w:line="312" w:lineRule="auto"/>
        <w:rPr>
          <w:rFonts w:ascii="Arial" w:hAnsi="Arial" w:cs="Arial"/>
          <w:sz w:val="20"/>
          <w:szCs w:val="20"/>
        </w:rPr>
      </w:pPr>
    </w:p>
    <w:sectPr w:rsidR="00AE6F58" w:rsidRPr="00D95DBC" w:rsidSect="00960834">
      <w:headerReference w:type="even" r:id="rId24"/>
      <w:headerReference w:type="default" r:id="rId25"/>
      <w:footerReference w:type="default" r:id="rId26"/>
      <w:headerReference w:type="first" r:id="rId27"/>
      <w:pgSz w:w="15840" w:h="12240" w:orient="landscape"/>
      <w:pgMar w:top="1417" w:right="1417" w:bottom="1417" w:left="1417" w:header="720" w:footer="0" w:gutter="0"/>
      <w:pgNumType w:fmt="upperRoman"/>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4B1" w:rsidRDefault="006914B1" w:rsidP="00DB74C9">
      <w:r>
        <w:separator/>
      </w:r>
    </w:p>
  </w:endnote>
  <w:endnote w:type="continuationSeparator" w:id="1">
    <w:p w:rsidR="006914B1" w:rsidRDefault="006914B1" w:rsidP="00DB74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91216"/>
      <w:docPartObj>
        <w:docPartGallery w:val="Page Numbers (Bottom of Page)"/>
        <w:docPartUnique/>
      </w:docPartObj>
    </w:sdtPr>
    <w:sdtContent>
      <w:p w:rsidR="009721AB" w:rsidRDefault="009721AB" w:rsidP="0015639D">
        <w:pPr>
          <w:pStyle w:val="Pieddepage"/>
          <w:pBdr>
            <w:top w:val="single" w:sz="4" w:space="1" w:color="auto"/>
          </w:pBdr>
        </w:pPr>
        <w:r>
          <w:t>© : CPS/SSDSPF, Comptes de la santé du Mali, exercice 20</w:t>
        </w:r>
        <w:r w:rsidRPr="00E127ED">
          <w:rPr>
            <w:color w:val="auto"/>
          </w:rPr>
          <w:t>14</w:t>
        </w:r>
        <w:r>
          <w:tab/>
        </w:r>
        <w:fldSimple w:instr="PAGE   \* MERGEFORMAT">
          <w:r w:rsidR="00CB0FDF">
            <w:rPr>
              <w:noProof/>
            </w:rPr>
            <w:t>i</w:t>
          </w:r>
        </w:fldSimple>
      </w:p>
    </w:sdtContent>
  </w:sdt>
  <w:p w:rsidR="009721AB" w:rsidRDefault="009721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AB" w:rsidRDefault="009721AB" w:rsidP="0015639D">
    <w:pPr>
      <w:pStyle w:val="Pieddepage"/>
      <w:pBdr>
        <w:top w:val="single" w:sz="4" w:space="1" w:color="auto"/>
      </w:pBdr>
    </w:pPr>
    <w:r>
      <w:t>Comptes de la santé du Mali, édition 2014</w:t>
    </w:r>
    <w:r>
      <w:tab/>
    </w:r>
    <w:r>
      <w:tab/>
    </w:r>
    <w:r>
      <w:tab/>
    </w:r>
    <w:fldSimple w:instr="PAGE   \* MERGEFORMAT">
      <w:r w:rsidR="00ED0051">
        <w:rPr>
          <w:noProof/>
        </w:rPr>
        <w:t>XIV</w:t>
      </w:r>
    </w:fldSimple>
  </w:p>
  <w:p w:rsidR="009721AB" w:rsidRDefault="009721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4B1" w:rsidRDefault="006914B1" w:rsidP="00DB74C9">
      <w:r>
        <w:separator/>
      </w:r>
    </w:p>
  </w:footnote>
  <w:footnote w:type="continuationSeparator" w:id="1">
    <w:p w:rsidR="006914B1" w:rsidRDefault="006914B1" w:rsidP="00DB74C9">
      <w:r>
        <w:continuationSeparator/>
      </w:r>
    </w:p>
  </w:footnote>
  <w:footnote w:id="2">
    <w:p w:rsidR="009721AB" w:rsidRPr="003B6C3C" w:rsidRDefault="009721AB" w:rsidP="002D149D">
      <w:pPr>
        <w:pStyle w:val="Notedebasdepage"/>
      </w:pPr>
    </w:p>
  </w:footnote>
  <w:footnote w:id="3">
    <w:p w:rsidR="009721AB" w:rsidRDefault="009721AB" w:rsidP="00D85095">
      <w:pPr>
        <w:pStyle w:val="Notedebasdepage"/>
      </w:pPr>
      <w:r>
        <w:rPr>
          <w:rStyle w:val="Appelnotedebasdep"/>
        </w:rPr>
        <w:footnoteRef/>
      </w:r>
      <w:r>
        <w:t xml:space="preserve"> La fonction santé regroupe les budgets santé alloués par l’Etat au Ministère de la santé et ceux des autres Ministères</w:t>
      </w:r>
    </w:p>
  </w:footnote>
  <w:footnote w:id="4">
    <w:p w:rsidR="009721AB" w:rsidRDefault="009721AB" w:rsidP="005807CD">
      <w:pPr>
        <w:pStyle w:val="Notedebasdepage"/>
        <w:spacing w:after="0" w:line="240" w:lineRule="auto"/>
      </w:pPr>
      <w:r>
        <w:rPr>
          <w:rStyle w:val="Appelnotedebasdep"/>
        </w:rPr>
        <w:footnoteRef/>
      </w:r>
      <w:r>
        <w:t xml:space="preserve"> Zone 1 de pauvreté : Koulikoro, Sikasso, Ségou, Mopti ;</w:t>
      </w:r>
    </w:p>
    <w:p w:rsidR="009721AB" w:rsidRDefault="009721AB" w:rsidP="005807CD">
      <w:pPr>
        <w:pStyle w:val="Notedebasdepage"/>
        <w:spacing w:after="0" w:line="240" w:lineRule="auto"/>
      </w:pPr>
      <w:r>
        <w:t>Zone 2 de pauvreté : Kayes, Tombouctou, Gao, Kidal ;</w:t>
      </w:r>
    </w:p>
    <w:p w:rsidR="009721AB" w:rsidRDefault="009721AB" w:rsidP="005807CD">
      <w:pPr>
        <w:pStyle w:val="Notedebasdepage"/>
        <w:spacing w:after="0" w:line="240" w:lineRule="auto"/>
      </w:pPr>
      <w:r>
        <w:t>Zone 3 de pauvreté : Bamako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AB" w:rsidRDefault="009721A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AB" w:rsidRDefault="009721A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AB" w:rsidRDefault="009721AB">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AB" w:rsidRDefault="009721AB">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AB" w:rsidRDefault="009721AB">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AB" w:rsidRDefault="009721A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EEA"/>
    <w:multiLevelType w:val="hybridMultilevel"/>
    <w:tmpl w:val="EA7AD64E"/>
    <w:lvl w:ilvl="0" w:tplc="8A2C5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000F08"/>
    <w:multiLevelType w:val="hybridMultilevel"/>
    <w:tmpl w:val="A6BAE0A8"/>
    <w:lvl w:ilvl="0" w:tplc="E9108722">
      <w:start w:val="3"/>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03A49"/>
    <w:multiLevelType w:val="hybridMultilevel"/>
    <w:tmpl w:val="6540DF94"/>
    <w:lvl w:ilvl="0" w:tplc="E9108722">
      <w:start w:val="3"/>
      <w:numFmt w:val="bullet"/>
      <w:lvlText w:val="-"/>
      <w:lvlJc w:val="left"/>
      <w:pPr>
        <w:tabs>
          <w:tab w:val="num" w:pos="720"/>
        </w:tabs>
        <w:ind w:left="720" w:hanging="360"/>
      </w:pPr>
      <w:rPr>
        <w:rFonts w:ascii="Arial" w:eastAsia="Times New Roman" w:hAnsi="Arial" w:cs="Arial" w:hint="default"/>
      </w:rPr>
    </w:lvl>
    <w:lvl w:ilvl="1" w:tplc="BBD20926" w:tentative="1">
      <w:start w:val="1"/>
      <w:numFmt w:val="bullet"/>
      <w:lvlText w:val=""/>
      <w:lvlJc w:val="left"/>
      <w:pPr>
        <w:tabs>
          <w:tab w:val="num" w:pos="1440"/>
        </w:tabs>
        <w:ind w:left="1440" w:hanging="360"/>
      </w:pPr>
      <w:rPr>
        <w:rFonts w:ascii="Wingdings" w:hAnsi="Wingdings" w:hint="default"/>
      </w:rPr>
    </w:lvl>
    <w:lvl w:ilvl="2" w:tplc="3250A706" w:tentative="1">
      <w:start w:val="1"/>
      <w:numFmt w:val="bullet"/>
      <w:lvlText w:val=""/>
      <w:lvlJc w:val="left"/>
      <w:pPr>
        <w:tabs>
          <w:tab w:val="num" w:pos="2160"/>
        </w:tabs>
        <w:ind w:left="2160" w:hanging="360"/>
      </w:pPr>
      <w:rPr>
        <w:rFonts w:ascii="Wingdings" w:hAnsi="Wingdings" w:hint="default"/>
      </w:rPr>
    </w:lvl>
    <w:lvl w:ilvl="3" w:tplc="059EDCD6" w:tentative="1">
      <w:start w:val="1"/>
      <w:numFmt w:val="bullet"/>
      <w:lvlText w:val=""/>
      <w:lvlJc w:val="left"/>
      <w:pPr>
        <w:tabs>
          <w:tab w:val="num" w:pos="2880"/>
        </w:tabs>
        <w:ind w:left="2880" w:hanging="360"/>
      </w:pPr>
      <w:rPr>
        <w:rFonts w:ascii="Wingdings" w:hAnsi="Wingdings" w:hint="default"/>
      </w:rPr>
    </w:lvl>
    <w:lvl w:ilvl="4" w:tplc="7FB2632E" w:tentative="1">
      <w:start w:val="1"/>
      <w:numFmt w:val="bullet"/>
      <w:lvlText w:val=""/>
      <w:lvlJc w:val="left"/>
      <w:pPr>
        <w:tabs>
          <w:tab w:val="num" w:pos="3600"/>
        </w:tabs>
        <w:ind w:left="3600" w:hanging="360"/>
      </w:pPr>
      <w:rPr>
        <w:rFonts w:ascii="Wingdings" w:hAnsi="Wingdings" w:hint="default"/>
      </w:rPr>
    </w:lvl>
    <w:lvl w:ilvl="5" w:tplc="44A85022" w:tentative="1">
      <w:start w:val="1"/>
      <w:numFmt w:val="bullet"/>
      <w:lvlText w:val=""/>
      <w:lvlJc w:val="left"/>
      <w:pPr>
        <w:tabs>
          <w:tab w:val="num" w:pos="4320"/>
        </w:tabs>
        <w:ind w:left="4320" w:hanging="360"/>
      </w:pPr>
      <w:rPr>
        <w:rFonts w:ascii="Wingdings" w:hAnsi="Wingdings" w:hint="default"/>
      </w:rPr>
    </w:lvl>
    <w:lvl w:ilvl="6" w:tplc="B8D2F702" w:tentative="1">
      <w:start w:val="1"/>
      <w:numFmt w:val="bullet"/>
      <w:lvlText w:val=""/>
      <w:lvlJc w:val="left"/>
      <w:pPr>
        <w:tabs>
          <w:tab w:val="num" w:pos="5040"/>
        </w:tabs>
        <w:ind w:left="5040" w:hanging="360"/>
      </w:pPr>
      <w:rPr>
        <w:rFonts w:ascii="Wingdings" w:hAnsi="Wingdings" w:hint="default"/>
      </w:rPr>
    </w:lvl>
    <w:lvl w:ilvl="7" w:tplc="CD04C89C" w:tentative="1">
      <w:start w:val="1"/>
      <w:numFmt w:val="bullet"/>
      <w:lvlText w:val=""/>
      <w:lvlJc w:val="left"/>
      <w:pPr>
        <w:tabs>
          <w:tab w:val="num" w:pos="5760"/>
        </w:tabs>
        <w:ind w:left="5760" w:hanging="360"/>
      </w:pPr>
      <w:rPr>
        <w:rFonts w:ascii="Wingdings" w:hAnsi="Wingdings" w:hint="default"/>
      </w:rPr>
    </w:lvl>
    <w:lvl w:ilvl="8" w:tplc="7D56EEFC" w:tentative="1">
      <w:start w:val="1"/>
      <w:numFmt w:val="bullet"/>
      <w:lvlText w:val=""/>
      <w:lvlJc w:val="left"/>
      <w:pPr>
        <w:tabs>
          <w:tab w:val="num" w:pos="6480"/>
        </w:tabs>
        <w:ind w:left="6480" w:hanging="360"/>
      </w:pPr>
      <w:rPr>
        <w:rFonts w:ascii="Wingdings" w:hAnsi="Wingdings" w:hint="default"/>
      </w:rPr>
    </w:lvl>
  </w:abstractNum>
  <w:abstractNum w:abstractNumId="3">
    <w:nsid w:val="0DC151DC"/>
    <w:multiLevelType w:val="hybridMultilevel"/>
    <w:tmpl w:val="477822AE"/>
    <w:lvl w:ilvl="0" w:tplc="AE86F952">
      <w:start w:val="1"/>
      <w:numFmt w:val="bullet"/>
      <w:lvlText w:val=""/>
      <w:lvlJc w:val="left"/>
      <w:pPr>
        <w:tabs>
          <w:tab w:val="num" w:pos="720"/>
        </w:tabs>
        <w:ind w:left="720" w:hanging="360"/>
      </w:pPr>
      <w:rPr>
        <w:rFonts w:ascii="Wingdings" w:hAnsi="Wingdings" w:hint="default"/>
      </w:rPr>
    </w:lvl>
    <w:lvl w:ilvl="1" w:tplc="7910DE38" w:tentative="1">
      <w:start w:val="1"/>
      <w:numFmt w:val="bullet"/>
      <w:lvlText w:val=""/>
      <w:lvlJc w:val="left"/>
      <w:pPr>
        <w:tabs>
          <w:tab w:val="num" w:pos="1440"/>
        </w:tabs>
        <w:ind w:left="1440" w:hanging="360"/>
      </w:pPr>
      <w:rPr>
        <w:rFonts w:ascii="Wingdings" w:hAnsi="Wingdings" w:hint="default"/>
      </w:rPr>
    </w:lvl>
    <w:lvl w:ilvl="2" w:tplc="CF22DBEC" w:tentative="1">
      <w:start w:val="1"/>
      <w:numFmt w:val="bullet"/>
      <w:lvlText w:val=""/>
      <w:lvlJc w:val="left"/>
      <w:pPr>
        <w:tabs>
          <w:tab w:val="num" w:pos="2160"/>
        </w:tabs>
        <w:ind w:left="2160" w:hanging="360"/>
      </w:pPr>
      <w:rPr>
        <w:rFonts w:ascii="Wingdings" w:hAnsi="Wingdings" w:hint="default"/>
      </w:rPr>
    </w:lvl>
    <w:lvl w:ilvl="3" w:tplc="79202848" w:tentative="1">
      <w:start w:val="1"/>
      <w:numFmt w:val="bullet"/>
      <w:lvlText w:val=""/>
      <w:lvlJc w:val="left"/>
      <w:pPr>
        <w:tabs>
          <w:tab w:val="num" w:pos="2880"/>
        </w:tabs>
        <w:ind w:left="2880" w:hanging="360"/>
      </w:pPr>
      <w:rPr>
        <w:rFonts w:ascii="Wingdings" w:hAnsi="Wingdings" w:hint="default"/>
      </w:rPr>
    </w:lvl>
    <w:lvl w:ilvl="4" w:tplc="AF060F5E" w:tentative="1">
      <w:start w:val="1"/>
      <w:numFmt w:val="bullet"/>
      <w:lvlText w:val=""/>
      <w:lvlJc w:val="left"/>
      <w:pPr>
        <w:tabs>
          <w:tab w:val="num" w:pos="3600"/>
        </w:tabs>
        <w:ind w:left="3600" w:hanging="360"/>
      </w:pPr>
      <w:rPr>
        <w:rFonts w:ascii="Wingdings" w:hAnsi="Wingdings" w:hint="default"/>
      </w:rPr>
    </w:lvl>
    <w:lvl w:ilvl="5" w:tplc="CDA26AC6" w:tentative="1">
      <w:start w:val="1"/>
      <w:numFmt w:val="bullet"/>
      <w:lvlText w:val=""/>
      <w:lvlJc w:val="left"/>
      <w:pPr>
        <w:tabs>
          <w:tab w:val="num" w:pos="4320"/>
        </w:tabs>
        <w:ind w:left="4320" w:hanging="360"/>
      </w:pPr>
      <w:rPr>
        <w:rFonts w:ascii="Wingdings" w:hAnsi="Wingdings" w:hint="default"/>
      </w:rPr>
    </w:lvl>
    <w:lvl w:ilvl="6" w:tplc="C7F23C7A" w:tentative="1">
      <w:start w:val="1"/>
      <w:numFmt w:val="bullet"/>
      <w:lvlText w:val=""/>
      <w:lvlJc w:val="left"/>
      <w:pPr>
        <w:tabs>
          <w:tab w:val="num" w:pos="5040"/>
        </w:tabs>
        <w:ind w:left="5040" w:hanging="360"/>
      </w:pPr>
      <w:rPr>
        <w:rFonts w:ascii="Wingdings" w:hAnsi="Wingdings" w:hint="default"/>
      </w:rPr>
    </w:lvl>
    <w:lvl w:ilvl="7" w:tplc="878445FA" w:tentative="1">
      <w:start w:val="1"/>
      <w:numFmt w:val="bullet"/>
      <w:lvlText w:val=""/>
      <w:lvlJc w:val="left"/>
      <w:pPr>
        <w:tabs>
          <w:tab w:val="num" w:pos="5760"/>
        </w:tabs>
        <w:ind w:left="5760" w:hanging="360"/>
      </w:pPr>
      <w:rPr>
        <w:rFonts w:ascii="Wingdings" w:hAnsi="Wingdings" w:hint="default"/>
      </w:rPr>
    </w:lvl>
    <w:lvl w:ilvl="8" w:tplc="D78A5D36" w:tentative="1">
      <w:start w:val="1"/>
      <w:numFmt w:val="bullet"/>
      <w:lvlText w:val=""/>
      <w:lvlJc w:val="left"/>
      <w:pPr>
        <w:tabs>
          <w:tab w:val="num" w:pos="6480"/>
        </w:tabs>
        <w:ind w:left="6480" w:hanging="360"/>
      </w:pPr>
      <w:rPr>
        <w:rFonts w:ascii="Wingdings" w:hAnsi="Wingdings" w:hint="default"/>
      </w:rPr>
    </w:lvl>
  </w:abstractNum>
  <w:abstractNum w:abstractNumId="4">
    <w:nsid w:val="1067649B"/>
    <w:multiLevelType w:val="hybridMultilevel"/>
    <w:tmpl w:val="C0F2768C"/>
    <w:lvl w:ilvl="0" w:tplc="E910872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27435D"/>
    <w:multiLevelType w:val="multilevel"/>
    <w:tmpl w:val="FBF0BC2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1BB76F93"/>
    <w:multiLevelType w:val="hybridMultilevel"/>
    <w:tmpl w:val="40B23D8C"/>
    <w:lvl w:ilvl="0" w:tplc="AF862274">
      <w:numFmt w:val="bullet"/>
      <w:lvlText w:val="-"/>
      <w:lvlJc w:val="left"/>
      <w:pPr>
        <w:ind w:left="720" w:hanging="360"/>
      </w:pPr>
      <w:rPr>
        <w:rFonts w:ascii="Calibri" w:eastAsiaTheme="minorHAnsi" w:hAnsi="Calibri" w:cstheme="minorBidi"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DC6D3A"/>
    <w:multiLevelType w:val="multilevel"/>
    <w:tmpl w:val="DF4C1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4627CBE"/>
    <w:multiLevelType w:val="hybridMultilevel"/>
    <w:tmpl w:val="D6061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F513C0"/>
    <w:multiLevelType w:val="hybridMultilevel"/>
    <w:tmpl w:val="ED12604A"/>
    <w:lvl w:ilvl="0" w:tplc="02061EE0">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955D16"/>
    <w:multiLevelType w:val="hybridMultilevel"/>
    <w:tmpl w:val="C4EE8114"/>
    <w:lvl w:ilvl="0" w:tplc="8A2C5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AC6327"/>
    <w:multiLevelType w:val="hybridMultilevel"/>
    <w:tmpl w:val="568CC134"/>
    <w:lvl w:ilvl="0" w:tplc="E9108722">
      <w:start w:val="3"/>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1A41ABB"/>
    <w:multiLevelType w:val="multilevel"/>
    <w:tmpl w:val="5A3C28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82E03ED"/>
    <w:multiLevelType w:val="hybridMultilevel"/>
    <w:tmpl w:val="B778E6B8"/>
    <w:lvl w:ilvl="0" w:tplc="8A2C5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CE7CC2"/>
    <w:multiLevelType w:val="hybridMultilevel"/>
    <w:tmpl w:val="F9609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055403"/>
    <w:multiLevelType w:val="hybridMultilevel"/>
    <w:tmpl w:val="813072FA"/>
    <w:lvl w:ilvl="0" w:tplc="E910872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6A2FAD"/>
    <w:multiLevelType w:val="multilevel"/>
    <w:tmpl w:val="5B6827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46EA4FCE"/>
    <w:multiLevelType w:val="multilevel"/>
    <w:tmpl w:val="93B2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AD3DC6"/>
    <w:multiLevelType w:val="multilevel"/>
    <w:tmpl w:val="FD483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heme="minorHAnsi"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CF3364"/>
    <w:multiLevelType w:val="hybridMultilevel"/>
    <w:tmpl w:val="93DCD140"/>
    <w:lvl w:ilvl="0" w:tplc="8402A6A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336683"/>
    <w:multiLevelType w:val="multilevel"/>
    <w:tmpl w:val="B25C1F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95564AE"/>
    <w:multiLevelType w:val="multilevel"/>
    <w:tmpl w:val="3A7C0284"/>
    <w:lvl w:ilvl="0">
      <w:start w:val="2"/>
      <w:numFmt w:val="upperRoman"/>
      <w:lvlText w:val="%1."/>
      <w:lvlJc w:val="left"/>
      <w:pPr>
        <w:ind w:left="1080" w:hanging="720"/>
      </w:pPr>
      <w:rPr>
        <w:rFonts w:hint="default"/>
      </w:rPr>
    </w:lvl>
    <w:lvl w:ilvl="1">
      <w:start w:val="2"/>
      <w:numFmt w:val="decimal"/>
      <w:isLgl/>
      <w:lvlText w:val="%1.%2"/>
      <w:lvlJc w:val="left"/>
      <w:pPr>
        <w:ind w:left="825" w:hanging="46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61036A96"/>
    <w:multiLevelType w:val="hybridMultilevel"/>
    <w:tmpl w:val="AAF87D62"/>
    <w:lvl w:ilvl="0" w:tplc="289EAEA6">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12B78DD"/>
    <w:multiLevelType w:val="multilevel"/>
    <w:tmpl w:val="1452E504"/>
    <w:lvl w:ilvl="0">
      <w:start w:val="5"/>
      <w:numFmt w:val="decimal"/>
      <w:lvlText w:val="%1"/>
      <w:lvlJc w:val="left"/>
      <w:pPr>
        <w:ind w:left="570" w:hanging="570"/>
      </w:pPr>
      <w:rPr>
        <w:rFonts w:hint="default"/>
        <w:b/>
      </w:rPr>
    </w:lvl>
    <w:lvl w:ilvl="1">
      <w:start w:val="2"/>
      <w:numFmt w:val="decimal"/>
      <w:lvlText w:val="%1.%2"/>
      <w:lvlJc w:val="left"/>
      <w:pPr>
        <w:ind w:left="712" w:hanging="57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24">
    <w:nsid w:val="62B221C1"/>
    <w:multiLevelType w:val="hybridMultilevel"/>
    <w:tmpl w:val="659EF7FE"/>
    <w:lvl w:ilvl="0" w:tplc="58FC2F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4D6373D"/>
    <w:multiLevelType w:val="hybridMultilevel"/>
    <w:tmpl w:val="786AE3B4"/>
    <w:lvl w:ilvl="0" w:tplc="58FC2F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C91FF8"/>
    <w:multiLevelType w:val="hybridMultilevel"/>
    <w:tmpl w:val="383A8EA2"/>
    <w:lvl w:ilvl="0" w:tplc="8A2C531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661A43ED"/>
    <w:multiLevelType w:val="hybridMultilevel"/>
    <w:tmpl w:val="15E0AE9A"/>
    <w:lvl w:ilvl="0" w:tplc="8A2C5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174EC1"/>
    <w:multiLevelType w:val="hybridMultilevel"/>
    <w:tmpl w:val="F7D8CD38"/>
    <w:lvl w:ilvl="0" w:tplc="58FC2F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F6C547A"/>
    <w:multiLevelType w:val="multilevel"/>
    <w:tmpl w:val="2912E04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5"/>
  </w:num>
  <w:num w:numId="3">
    <w:abstractNumId w:val="22"/>
  </w:num>
  <w:num w:numId="4">
    <w:abstractNumId w:val="12"/>
  </w:num>
  <w:num w:numId="5">
    <w:abstractNumId w:val="6"/>
  </w:num>
  <w:num w:numId="6">
    <w:abstractNumId w:val="19"/>
  </w:num>
  <w:num w:numId="7">
    <w:abstractNumId w:val="4"/>
  </w:num>
  <w:num w:numId="8">
    <w:abstractNumId w:val="17"/>
  </w:num>
  <w:num w:numId="9">
    <w:abstractNumId w:val="18"/>
  </w:num>
  <w:num w:numId="10">
    <w:abstractNumId w:val="9"/>
  </w:num>
  <w:num w:numId="11">
    <w:abstractNumId w:val="16"/>
  </w:num>
  <w:num w:numId="12">
    <w:abstractNumId w:val="29"/>
  </w:num>
  <w:num w:numId="13">
    <w:abstractNumId w:val="13"/>
  </w:num>
  <w:num w:numId="14">
    <w:abstractNumId w:val="10"/>
  </w:num>
  <w:num w:numId="15">
    <w:abstractNumId w:val="5"/>
  </w:num>
  <w:num w:numId="16">
    <w:abstractNumId w:val="2"/>
  </w:num>
  <w:num w:numId="17">
    <w:abstractNumId w:val="1"/>
  </w:num>
  <w:num w:numId="18">
    <w:abstractNumId w:val="15"/>
  </w:num>
  <w:num w:numId="19">
    <w:abstractNumId w:val="11"/>
  </w:num>
  <w:num w:numId="20">
    <w:abstractNumId w:val="0"/>
  </w:num>
  <w:num w:numId="21">
    <w:abstractNumId w:val="26"/>
  </w:num>
  <w:num w:numId="22">
    <w:abstractNumId w:val="24"/>
  </w:num>
  <w:num w:numId="23">
    <w:abstractNumId w:val="28"/>
  </w:num>
  <w:num w:numId="24">
    <w:abstractNumId w:val="7"/>
  </w:num>
  <w:num w:numId="25">
    <w:abstractNumId w:val="7"/>
  </w:num>
  <w:num w:numId="26">
    <w:abstractNumId w:val="27"/>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4"/>
  </w:num>
  <w:num w:numId="36">
    <w:abstractNumId w:val="8"/>
  </w:num>
  <w:num w:numId="37">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C30A98"/>
    <w:rsid w:val="00000700"/>
    <w:rsid w:val="000037E1"/>
    <w:rsid w:val="000045E6"/>
    <w:rsid w:val="00005441"/>
    <w:rsid w:val="0000581B"/>
    <w:rsid w:val="00005C0F"/>
    <w:rsid w:val="00006B9D"/>
    <w:rsid w:val="00007175"/>
    <w:rsid w:val="0000799D"/>
    <w:rsid w:val="00007C94"/>
    <w:rsid w:val="00007E29"/>
    <w:rsid w:val="00012766"/>
    <w:rsid w:val="00015946"/>
    <w:rsid w:val="000161BF"/>
    <w:rsid w:val="00020B08"/>
    <w:rsid w:val="00020B6F"/>
    <w:rsid w:val="00021A79"/>
    <w:rsid w:val="00023D55"/>
    <w:rsid w:val="000246AB"/>
    <w:rsid w:val="00024F28"/>
    <w:rsid w:val="00025A5E"/>
    <w:rsid w:val="00027827"/>
    <w:rsid w:val="00030881"/>
    <w:rsid w:val="00030A99"/>
    <w:rsid w:val="000327D9"/>
    <w:rsid w:val="0003367C"/>
    <w:rsid w:val="000425CF"/>
    <w:rsid w:val="00042ACA"/>
    <w:rsid w:val="0004576A"/>
    <w:rsid w:val="0004639D"/>
    <w:rsid w:val="00047313"/>
    <w:rsid w:val="00050D34"/>
    <w:rsid w:val="000510D2"/>
    <w:rsid w:val="00051A1E"/>
    <w:rsid w:val="000525B0"/>
    <w:rsid w:val="000552F9"/>
    <w:rsid w:val="000556F9"/>
    <w:rsid w:val="000560CB"/>
    <w:rsid w:val="000563C0"/>
    <w:rsid w:val="0005652E"/>
    <w:rsid w:val="000565AE"/>
    <w:rsid w:val="0005674C"/>
    <w:rsid w:val="00060834"/>
    <w:rsid w:val="0006128E"/>
    <w:rsid w:val="00061393"/>
    <w:rsid w:val="00065CD8"/>
    <w:rsid w:val="00066728"/>
    <w:rsid w:val="00070DD8"/>
    <w:rsid w:val="00072B8A"/>
    <w:rsid w:val="00072C26"/>
    <w:rsid w:val="00080F75"/>
    <w:rsid w:val="000815EE"/>
    <w:rsid w:val="00084E17"/>
    <w:rsid w:val="0008617E"/>
    <w:rsid w:val="00086975"/>
    <w:rsid w:val="00086AA0"/>
    <w:rsid w:val="00086D64"/>
    <w:rsid w:val="00090354"/>
    <w:rsid w:val="00095E97"/>
    <w:rsid w:val="000A0DE5"/>
    <w:rsid w:val="000A413E"/>
    <w:rsid w:val="000B05F8"/>
    <w:rsid w:val="000B06B4"/>
    <w:rsid w:val="000B11C0"/>
    <w:rsid w:val="000B11EC"/>
    <w:rsid w:val="000B1391"/>
    <w:rsid w:val="000B2036"/>
    <w:rsid w:val="000B5152"/>
    <w:rsid w:val="000B622E"/>
    <w:rsid w:val="000C22E9"/>
    <w:rsid w:val="000C53AE"/>
    <w:rsid w:val="000C64F3"/>
    <w:rsid w:val="000C7AAF"/>
    <w:rsid w:val="000D0DF8"/>
    <w:rsid w:val="000D0E1A"/>
    <w:rsid w:val="000D160F"/>
    <w:rsid w:val="000D2331"/>
    <w:rsid w:val="000D2DA9"/>
    <w:rsid w:val="000D2DED"/>
    <w:rsid w:val="000D3136"/>
    <w:rsid w:val="000D39AC"/>
    <w:rsid w:val="000D39C1"/>
    <w:rsid w:val="000D4D84"/>
    <w:rsid w:val="000D4EC4"/>
    <w:rsid w:val="000D5C58"/>
    <w:rsid w:val="000D66DA"/>
    <w:rsid w:val="000E2D41"/>
    <w:rsid w:val="000E32BE"/>
    <w:rsid w:val="000E3B04"/>
    <w:rsid w:val="000E41F6"/>
    <w:rsid w:val="000E6532"/>
    <w:rsid w:val="000F1890"/>
    <w:rsid w:val="000F1DEB"/>
    <w:rsid w:val="000F2149"/>
    <w:rsid w:val="000F3F6E"/>
    <w:rsid w:val="000F43BD"/>
    <w:rsid w:val="000F67AD"/>
    <w:rsid w:val="000F7985"/>
    <w:rsid w:val="00101B31"/>
    <w:rsid w:val="00102589"/>
    <w:rsid w:val="00106339"/>
    <w:rsid w:val="0011042B"/>
    <w:rsid w:val="00111009"/>
    <w:rsid w:val="00111EEA"/>
    <w:rsid w:val="0011219A"/>
    <w:rsid w:val="001136BF"/>
    <w:rsid w:val="00113E5A"/>
    <w:rsid w:val="00116EF9"/>
    <w:rsid w:val="0011704C"/>
    <w:rsid w:val="00117C89"/>
    <w:rsid w:val="001267F0"/>
    <w:rsid w:val="0013150B"/>
    <w:rsid w:val="00133B5C"/>
    <w:rsid w:val="00133F63"/>
    <w:rsid w:val="00134D9E"/>
    <w:rsid w:val="00134DC0"/>
    <w:rsid w:val="001361B2"/>
    <w:rsid w:val="0013668C"/>
    <w:rsid w:val="00140980"/>
    <w:rsid w:val="00143F95"/>
    <w:rsid w:val="0014482C"/>
    <w:rsid w:val="00144DC9"/>
    <w:rsid w:val="00144DF7"/>
    <w:rsid w:val="001467B3"/>
    <w:rsid w:val="0014743A"/>
    <w:rsid w:val="001529A5"/>
    <w:rsid w:val="0015487E"/>
    <w:rsid w:val="00154AE9"/>
    <w:rsid w:val="001554A3"/>
    <w:rsid w:val="001562E7"/>
    <w:rsid w:val="0015639D"/>
    <w:rsid w:val="00156F6E"/>
    <w:rsid w:val="0015760D"/>
    <w:rsid w:val="00160AD9"/>
    <w:rsid w:val="001624BB"/>
    <w:rsid w:val="00162DB8"/>
    <w:rsid w:val="001637FA"/>
    <w:rsid w:val="001649A8"/>
    <w:rsid w:val="00164A57"/>
    <w:rsid w:val="0016532F"/>
    <w:rsid w:val="001675D8"/>
    <w:rsid w:val="00170F2A"/>
    <w:rsid w:val="00171962"/>
    <w:rsid w:val="0017214A"/>
    <w:rsid w:val="00173664"/>
    <w:rsid w:val="0017578E"/>
    <w:rsid w:val="00175F30"/>
    <w:rsid w:val="0018076C"/>
    <w:rsid w:val="00180B00"/>
    <w:rsid w:val="00180BD0"/>
    <w:rsid w:val="00180FF6"/>
    <w:rsid w:val="00182545"/>
    <w:rsid w:val="0018302C"/>
    <w:rsid w:val="001839AF"/>
    <w:rsid w:val="00184430"/>
    <w:rsid w:val="00185FB9"/>
    <w:rsid w:val="0018677A"/>
    <w:rsid w:val="00186CD5"/>
    <w:rsid w:val="00194B4D"/>
    <w:rsid w:val="001975F3"/>
    <w:rsid w:val="00197B5B"/>
    <w:rsid w:val="00197FF8"/>
    <w:rsid w:val="001A0AF5"/>
    <w:rsid w:val="001A1544"/>
    <w:rsid w:val="001A7F2A"/>
    <w:rsid w:val="001B17A8"/>
    <w:rsid w:val="001B1E34"/>
    <w:rsid w:val="001B1F84"/>
    <w:rsid w:val="001B3201"/>
    <w:rsid w:val="001B4B76"/>
    <w:rsid w:val="001B5531"/>
    <w:rsid w:val="001B67B0"/>
    <w:rsid w:val="001B7145"/>
    <w:rsid w:val="001C0024"/>
    <w:rsid w:val="001C06B2"/>
    <w:rsid w:val="001C0952"/>
    <w:rsid w:val="001C0ABF"/>
    <w:rsid w:val="001C1951"/>
    <w:rsid w:val="001C6D05"/>
    <w:rsid w:val="001D2895"/>
    <w:rsid w:val="001D517D"/>
    <w:rsid w:val="001E01A5"/>
    <w:rsid w:val="001E121E"/>
    <w:rsid w:val="001E2404"/>
    <w:rsid w:val="001E3257"/>
    <w:rsid w:val="001E40D0"/>
    <w:rsid w:val="001E57D0"/>
    <w:rsid w:val="001E69F3"/>
    <w:rsid w:val="001E7687"/>
    <w:rsid w:val="001E7C41"/>
    <w:rsid w:val="001F12ED"/>
    <w:rsid w:val="001F3CD8"/>
    <w:rsid w:val="001F4ECD"/>
    <w:rsid w:val="001F573A"/>
    <w:rsid w:val="001F60CF"/>
    <w:rsid w:val="00201D92"/>
    <w:rsid w:val="00202272"/>
    <w:rsid w:val="002030D8"/>
    <w:rsid w:val="00203BD9"/>
    <w:rsid w:val="00205DF7"/>
    <w:rsid w:val="00210557"/>
    <w:rsid w:val="002153B9"/>
    <w:rsid w:val="00217F67"/>
    <w:rsid w:val="0022229C"/>
    <w:rsid w:val="002228C7"/>
    <w:rsid w:val="00223D3A"/>
    <w:rsid w:val="00225001"/>
    <w:rsid w:val="00225E38"/>
    <w:rsid w:val="00225FBB"/>
    <w:rsid w:val="00226D70"/>
    <w:rsid w:val="00231D27"/>
    <w:rsid w:val="00233214"/>
    <w:rsid w:val="00233283"/>
    <w:rsid w:val="00233573"/>
    <w:rsid w:val="002361C2"/>
    <w:rsid w:val="002362C3"/>
    <w:rsid w:val="00237780"/>
    <w:rsid w:val="00237988"/>
    <w:rsid w:val="00240E1B"/>
    <w:rsid w:val="00241959"/>
    <w:rsid w:val="00242D43"/>
    <w:rsid w:val="00243532"/>
    <w:rsid w:val="00243954"/>
    <w:rsid w:val="00243EED"/>
    <w:rsid w:val="0024565F"/>
    <w:rsid w:val="002457EC"/>
    <w:rsid w:val="00245FF8"/>
    <w:rsid w:val="00246469"/>
    <w:rsid w:val="00246A3C"/>
    <w:rsid w:val="0024759F"/>
    <w:rsid w:val="00251D96"/>
    <w:rsid w:val="00252CF2"/>
    <w:rsid w:val="0025413E"/>
    <w:rsid w:val="002541C4"/>
    <w:rsid w:val="00254672"/>
    <w:rsid w:val="00255B69"/>
    <w:rsid w:val="00257506"/>
    <w:rsid w:val="002615D4"/>
    <w:rsid w:val="0026225C"/>
    <w:rsid w:val="00263AE4"/>
    <w:rsid w:val="0026417B"/>
    <w:rsid w:val="00265C92"/>
    <w:rsid w:val="002660FC"/>
    <w:rsid w:val="00266DAB"/>
    <w:rsid w:val="002702F5"/>
    <w:rsid w:val="00271002"/>
    <w:rsid w:val="00272013"/>
    <w:rsid w:val="0027295A"/>
    <w:rsid w:val="00272D6D"/>
    <w:rsid w:val="00273D6C"/>
    <w:rsid w:val="002740BE"/>
    <w:rsid w:val="00274DED"/>
    <w:rsid w:val="00275B1E"/>
    <w:rsid w:val="0027686F"/>
    <w:rsid w:val="002801C4"/>
    <w:rsid w:val="002811F9"/>
    <w:rsid w:val="00282136"/>
    <w:rsid w:val="00286A2E"/>
    <w:rsid w:val="00290152"/>
    <w:rsid w:val="00292BA2"/>
    <w:rsid w:val="002932F3"/>
    <w:rsid w:val="00294348"/>
    <w:rsid w:val="00294413"/>
    <w:rsid w:val="0029590F"/>
    <w:rsid w:val="0029679D"/>
    <w:rsid w:val="002974B9"/>
    <w:rsid w:val="002A00E5"/>
    <w:rsid w:val="002A0802"/>
    <w:rsid w:val="002A1954"/>
    <w:rsid w:val="002A412D"/>
    <w:rsid w:val="002A5F97"/>
    <w:rsid w:val="002A6D7A"/>
    <w:rsid w:val="002A713E"/>
    <w:rsid w:val="002A734B"/>
    <w:rsid w:val="002A7ABF"/>
    <w:rsid w:val="002B391D"/>
    <w:rsid w:val="002B3A16"/>
    <w:rsid w:val="002B4639"/>
    <w:rsid w:val="002B4E16"/>
    <w:rsid w:val="002B6635"/>
    <w:rsid w:val="002C0307"/>
    <w:rsid w:val="002C21D2"/>
    <w:rsid w:val="002C24F7"/>
    <w:rsid w:val="002C265B"/>
    <w:rsid w:val="002C3202"/>
    <w:rsid w:val="002C5AFC"/>
    <w:rsid w:val="002C6107"/>
    <w:rsid w:val="002C7E9F"/>
    <w:rsid w:val="002D0CEE"/>
    <w:rsid w:val="002D1454"/>
    <w:rsid w:val="002D149D"/>
    <w:rsid w:val="002D2907"/>
    <w:rsid w:val="002D3591"/>
    <w:rsid w:val="002D35C1"/>
    <w:rsid w:val="002D5F0A"/>
    <w:rsid w:val="002D5FD5"/>
    <w:rsid w:val="002E09A0"/>
    <w:rsid w:val="002E0A90"/>
    <w:rsid w:val="002E0CF7"/>
    <w:rsid w:val="002E1D11"/>
    <w:rsid w:val="002E205F"/>
    <w:rsid w:val="002E3473"/>
    <w:rsid w:val="002E383F"/>
    <w:rsid w:val="002E51F9"/>
    <w:rsid w:val="002E5441"/>
    <w:rsid w:val="002E703D"/>
    <w:rsid w:val="002F12C1"/>
    <w:rsid w:val="002F15A7"/>
    <w:rsid w:val="002F1CCC"/>
    <w:rsid w:val="002F3A41"/>
    <w:rsid w:val="002F48CA"/>
    <w:rsid w:val="002F57B2"/>
    <w:rsid w:val="003001E8"/>
    <w:rsid w:val="00301FC1"/>
    <w:rsid w:val="00302D13"/>
    <w:rsid w:val="0030311E"/>
    <w:rsid w:val="00310C37"/>
    <w:rsid w:val="00310FDB"/>
    <w:rsid w:val="00312962"/>
    <w:rsid w:val="00312BEE"/>
    <w:rsid w:val="00313E23"/>
    <w:rsid w:val="00315A57"/>
    <w:rsid w:val="00320CA7"/>
    <w:rsid w:val="00321073"/>
    <w:rsid w:val="00321311"/>
    <w:rsid w:val="00321910"/>
    <w:rsid w:val="00327342"/>
    <w:rsid w:val="00330958"/>
    <w:rsid w:val="00330D03"/>
    <w:rsid w:val="00331104"/>
    <w:rsid w:val="00331B7B"/>
    <w:rsid w:val="00331DCE"/>
    <w:rsid w:val="00332DDA"/>
    <w:rsid w:val="00333B74"/>
    <w:rsid w:val="00333BCE"/>
    <w:rsid w:val="00334333"/>
    <w:rsid w:val="00336F6C"/>
    <w:rsid w:val="003408E3"/>
    <w:rsid w:val="0034279A"/>
    <w:rsid w:val="003438E5"/>
    <w:rsid w:val="00344F9D"/>
    <w:rsid w:val="003456F1"/>
    <w:rsid w:val="00345D4E"/>
    <w:rsid w:val="003501AE"/>
    <w:rsid w:val="003502F6"/>
    <w:rsid w:val="00351D9B"/>
    <w:rsid w:val="00351EB1"/>
    <w:rsid w:val="00352D08"/>
    <w:rsid w:val="00357601"/>
    <w:rsid w:val="003576C6"/>
    <w:rsid w:val="0036169A"/>
    <w:rsid w:val="00363F73"/>
    <w:rsid w:val="00363FA9"/>
    <w:rsid w:val="00367A9C"/>
    <w:rsid w:val="0037028C"/>
    <w:rsid w:val="00370547"/>
    <w:rsid w:val="00371C4F"/>
    <w:rsid w:val="00371DE8"/>
    <w:rsid w:val="00371E6C"/>
    <w:rsid w:val="00374F02"/>
    <w:rsid w:val="0037596E"/>
    <w:rsid w:val="00375AFC"/>
    <w:rsid w:val="00375B0E"/>
    <w:rsid w:val="003766E4"/>
    <w:rsid w:val="00377EA1"/>
    <w:rsid w:val="00380AD4"/>
    <w:rsid w:val="00380D25"/>
    <w:rsid w:val="0038202D"/>
    <w:rsid w:val="003830CA"/>
    <w:rsid w:val="00383257"/>
    <w:rsid w:val="00384000"/>
    <w:rsid w:val="00387D95"/>
    <w:rsid w:val="00390C11"/>
    <w:rsid w:val="003913D3"/>
    <w:rsid w:val="00391804"/>
    <w:rsid w:val="003959BF"/>
    <w:rsid w:val="00395A61"/>
    <w:rsid w:val="0039621F"/>
    <w:rsid w:val="0039695A"/>
    <w:rsid w:val="003A01A0"/>
    <w:rsid w:val="003A11DF"/>
    <w:rsid w:val="003A16F0"/>
    <w:rsid w:val="003A1E70"/>
    <w:rsid w:val="003A2744"/>
    <w:rsid w:val="003A7FF6"/>
    <w:rsid w:val="003B1406"/>
    <w:rsid w:val="003B1ABB"/>
    <w:rsid w:val="003B2EB9"/>
    <w:rsid w:val="003B5598"/>
    <w:rsid w:val="003B66C9"/>
    <w:rsid w:val="003B6C3C"/>
    <w:rsid w:val="003B6E7F"/>
    <w:rsid w:val="003C15DA"/>
    <w:rsid w:val="003C22A6"/>
    <w:rsid w:val="003C432E"/>
    <w:rsid w:val="003D32B8"/>
    <w:rsid w:val="003D45C0"/>
    <w:rsid w:val="003D51BE"/>
    <w:rsid w:val="003D7105"/>
    <w:rsid w:val="003E444C"/>
    <w:rsid w:val="003E4AC7"/>
    <w:rsid w:val="003E5FE6"/>
    <w:rsid w:val="003E73A7"/>
    <w:rsid w:val="003F00D4"/>
    <w:rsid w:val="003F01F3"/>
    <w:rsid w:val="003F3AAB"/>
    <w:rsid w:val="003F3BEF"/>
    <w:rsid w:val="003F4326"/>
    <w:rsid w:val="0040018B"/>
    <w:rsid w:val="00400F7A"/>
    <w:rsid w:val="004020AE"/>
    <w:rsid w:val="004028CC"/>
    <w:rsid w:val="00402F3C"/>
    <w:rsid w:val="00404D97"/>
    <w:rsid w:val="0040635A"/>
    <w:rsid w:val="00406C76"/>
    <w:rsid w:val="004101A7"/>
    <w:rsid w:val="004108F2"/>
    <w:rsid w:val="00411099"/>
    <w:rsid w:val="004115FA"/>
    <w:rsid w:val="00413170"/>
    <w:rsid w:val="00414FA1"/>
    <w:rsid w:val="0042029C"/>
    <w:rsid w:val="0042029F"/>
    <w:rsid w:val="00421171"/>
    <w:rsid w:val="004218F8"/>
    <w:rsid w:val="004231DB"/>
    <w:rsid w:val="00423465"/>
    <w:rsid w:val="004246D2"/>
    <w:rsid w:val="004253F0"/>
    <w:rsid w:val="00425762"/>
    <w:rsid w:val="00431F7D"/>
    <w:rsid w:val="004335A0"/>
    <w:rsid w:val="0043442A"/>
    <w:rsid w:val="004358F3"/>
    <w:rsid w:val="004363F1"/>
    <w:rsid w:val="004376EE"/>
    <w:rsid w:val="00437D90"/>
    <w:rsid w:val="004402F9"/>
    <w:rsid w:val="00441450"/>
    <w:rsid w:val="00442693"/>
    <w:rsid w:val="004426CF"/>
    <w:rsid w:val="004427A9"/>
    <w:rsid w:val="004455FB"/>
    <w:rsid w:val="0044670F"/>
    <w:rsid w:val="00446BD4"/>
    <w:rsid w:val="00446EC0"/>
    <w:rsid w:val="00450416"/>
    <w:rsid w:val="00450A12"/>
    <w:rsid w:val="00452E59"/>
    <w:rsid w:val="00452F67"/>
    <w:rsid w:val="00455C98"/>
    <w:rsid w:val="00460A79"/>
    <w:rsid w:val="0046135B"/>
    <w:rsid w:val="004629FE"/>
    <w:rsid w:val="00462C10"/>
    <w:rsid w:val="00462F70"/>
    <w:rsid w:val="004667A0"/>
    <w:rsid w:val="0046778E"/>
    <w:rsid w:val="00470D55"/>
    <w:rsid w:val="0047302F"/>
    <w:rsid w:val="004733FD"/>
    <w:rsid w:val="00473D69"/>
    <w:rsid w:val="00474334"/>
    <w:rsid w:val="00475429"/>
    <w:rsid w:val="004759FA"/>
    <w:rsid w:val="004765F3"/>
    <w:rsid w:val="00476AF7"/>
    <w:rsid w:val="004778C5"/>
    <w:rsid w:val="00480A9F"/>
    <w:rsid w:val="0048111A"/>
    <w:rsid w:val="00481794"/>
    <w:rsid w:val="004821CE"/>
    <w:rsid w:val="00482DEF"/>
    <w:rsid w:val="00484C05"/>
    <w:rsid w:val="00485E18"/>
    <w:rsid w:val="00486FF6"/>
    <w:rsid w:val="00490FCF"/>
    <w:rsid w:val="004948E1"/>
    <w:rsid w:val="004962BB"/>
    <w:rsid w:val="004A3B3F"/>
    <w:rsid w:val="004A3C48"/>
    <w:rsid w:val="004B02D8"/>
    <w:rsid w:val="004B060E"/>
    <w:rsid w:val="004B1718"/>
    <w:rsid w:val="004B26F5"/>
    <w:rsid w:val="004B31C7"/>
    <w:rsid w:val="004B6A5C"/>
    <w:rsid w:val="004C0AC8"/>
    <w:rsid w:val="004C1BB5"/>
    <w:rsid w:val="004C22E8"/>
    <w:rsid w:val="004C55DE"/>
    <w:rsid w:val="004C6250"/>
    <w:rsid w:val="004C7369"/>
    <w:rsid w:val="004D0145"/>
    <w:rsid w:val="004D10AE"/>
    <w:rsid w:val="004D16E7"/>
    <w:rsid w:val="004D1A61"/>
    <w:rsid w:val="004D2061"/>
    <w:rsid w:val="004D51A8"/>
    <w:rsid w:val="004D68C4"/>
    <w:rsid w:val="004E00EC"/>
    <w:rsid w:val="004E3C4C"/>
    <w:rsid w:val="004E4626"/>
    <w:rsid w:val="004E70A2"/>
    <w:rsid w:val="004F0645"/>
    <w:rsid w:val="004F2492"/>
    <w:rsid w:val="004F2804"/>
    <w:rsid w:val="004F3FF8"/>
    <w:rsid w:val="004F4937"/>
    <w:rsid w:val="004F64C8"/>
    <w:rsid w:val="005003EC"/>
    <w:rsid w:val="0050058A"/>
    <w:rsid w:val="005048AE"/>
    <w:rsid w:val="00505042"/>
    <w:rsid w:val="005052F7"/>
    <w:rsid w:val="00506A00"/>
    <w:rsid w:val="0051055B"/>
    <w:rsid w:val="00510D31"/>
    <w:rsid w:val="0051356D"/>
    <w:rsid w:val="005144BE"/>
    <w:rsid w:val="005155B9"/>
    <w:rsid w:val="005157E7"/>
    <w:rsid w:val="00515ED9"/>
    <w:rsid w:val="0051792E"/>
    <w:rsid w:val="00520F8A"/>
    <w:rsid w:val="00521B6B"/>
    <w:rsid w:val="0052264F"/>
    <w:rsid w:val="0052480B"/>
    <w:rsid w:val="00524DA9"/>
    <w:rsid w:val="00525215"/>
    <w:rsid w:val="00525561"/>
    <w:rsid w:val="0052763E"/>
    <w:rsid w:val="005307BE"/>
    <w:rsid w:val="00530F7F"/>
    <w:rsid w:val="0053340A"/>
    <w:rsid w:val="00533D86"/>
    <w:rsid w:val="005351B9"/>
    <w:rsid w:val="00535FE8"/>
    <w:rsid w:val="0053700E"/>
    <w:rsid w:val="00537B95"/>
    <w:rsid w:val="00537E93"/>
    <w:rsid w:val="00537F62"/>
    <w:rsid w:val="00540C63"/>
    <w:rsid w:val="00543C7C"/>
    <w:rsid w:val="005456D8"/>
    <w:rsid w:val="0054722C"/>
    <w:rsid w:val="00551394"/>
    <w:rsid w:val="00552091"/>
    <w:rsid w:val="00552A2E"/>
    <w:rsid w:val="00553518"/>
    <w:rsid w:val="00553BEB"/>
    <w:rsid w:val="0055435B"/>
    <w:rsid w:val="00554D92"/>
    <w:rsid w:val="00556C96"/>
    <w:rsid w:val="00556E5C"/>
    <w:rsid w:val="00557340"/>
    <w:rsid w:val="00557A9C"/>
    <w:rsid w:val="00560128"/>
    <w:rsid w:val="005602A9"/>
    <w:rsid w:val="00560867"/>
    <w:rsid w:val="00562071"/>
    <w:rsid w:val="005627E0"/>
    <w:rsid w:val="00564513"/>
    <w:rsid w:val="00564F19"/>
    <w:rsid w:val="00566A20"/>
    <w:rsid w:val="00567891"/>
    <w:rsid w:val="00570992"/>
    <w:rsid w:val="00570ACA"/>
    <w:rsid w:val="00571855"/>
    <w:rsid w:val="00572DEF"/>
    <w:rsid w:val="005765BA"/>
    <w:rsid w:val="00576BB5"/>
    <w:rsid w:val="00577362"/>
    <w:rsid w:val="005775E9"/>
    <w:rsid w:val="005807CD"/>
    <w:rsid w:val="005808DD"/>
    <w:rsid w:val="005814C1"/>
    <w:rsid w:val="00583860"/>
    <w:rsid w:val="005861E6"/>
    <w:rsid w:val="00587784"/>
    <w:rsid w:val="005936B4"/>
    <w:rsid w:val="005A112B"/>
    <w:rsid w:val="005A1E28"/>
    <w:rsid w:val="005A29FA"/>
    <w:rsid w:val="005A40DD"/>
    <w:rsid w:val="005A4844"/>
    <w:rsid w:val="005A69E3"/>
    <w:rsid w:val="005B5631"/>
    <w:rsid w:val="005B6F70"/>
    <w:rsid w:val="005B7DC6"/>
    <w:rsid w:val="005C127D"/>
    <w:rsid w:val="005C1E0C"/>
    <w:rsid w:val="005C258E"/>
    <w:rsid w:val="005C3393"/>
    <w:rsid w:val="005C745A"/>
    <w:rsid w:val="005C7ABA"/>
    <w:rsid w:val="005D0904"/>
    <w:rsid w:val="005D10AC"/>
    <w:rsid w:val="005D624F"/>
    <w:rsid w:val="005D7675"/>
    <w:rsid w:val="005D776C"/>
    <w:rsid w:val="005D7C19"/>
    <w:rsid w:val="005E1AD8"/>
    <w:rsid w:val="005E1B5F"/>
    <w:rsid w:val="005E2377"/>
    <w:rsid w:val="005E2FE6"/>
    <w:rsid w:val="005E7404"/>
    <w:rsid w:val="005F010A"/>
    <w:rsid w:val="005F04BB"/>
    <w:rsid w:val="005F0627"/>
    <w:rsid w:val="005F1150"/>
    <w:rsid w:val="005F315A"/>
    <w:rsid w:val="005F5EC7"/>
    <w:rsid w:val="006006A5"/>
    <w:rsid w:val="006009CF"/>
    <w:rsid w:val="006014CE"/>
    <w:rsid w:val="00601BBE"/>
    <w:rsid w:val="006025AA"/>
    <w:rsid w:val="00602EFA"/>
    <w:rsid w:val="00603B21"/>
    <w:rsid w:val="00604B7A"/>
    <w:rsid w:val="006063BF"/>
    <w:rsid w:val="006068A4"/>
    <w:rsid w:val="00610070"/>
    <w:rsid w:val="006124BE"/>
    <w:rsid w:val="0061415D"/>
    <w:rsid w:val="0061489F"/>
    <w:rsid w:val="0061678D"/>
    <w:rsid w:val="0062076B"/>
    <w:rsid w:val="00620D7B"/>
    <w:rsid w:val="00622A04"/>
    <w:rsid w:val="00624228"/>
    <w:rsid w:val="00624BEB"/>
    <w:rsid w:val="00625D22"/>
    <w:rsid w:val="00632CBF"/>
    <w:rsid w:val="0063427B"/>
    <w:rsid w:val="00634982"/>
    <w:rsid w:val="00635F23"/>
    <w:rsid w:val="00636FA7"/>
    <w:rsid w:val="006370D3"/>
    <w:rsid w:val="0064072C"/>
    <w:rsid w:val="00641628"/>
    <w:rsid w:val="006421C0"/>
    <w:rsid w:val="00642DB9"/>
    <w:rsid w:val="00643DDD"/>
    <w:rsid w:val="00647515"/>
    <w:rsid w:val="0065046E"/>
    <w:rsid w:val="00652095"/>
    <w:rsid w:val="00655B0F"/>
    <w:rsid w:val="006579BC"/>
    <w:rsid w:val="00657B59"/>
    <w:rsid w:val="0066037A"/>
    <w:rsid w:val="00660921"/>
    <w:rsid w:val="006617DB"/>
    <w:rsid w:val="00661C8C"/>
    <w:rsid w:val="00661C8D"/>
    <w:rsid w:val="006622C1"/>
    <w:rsid w:val="00662BD4"/>
    <w:rsid w:val="00662EE2"/>
    <w:rsid w:val="00664371"/>
    <w:rsid w:val="006647EF"/>
    <w:rsid w:val="006675DA"/>
    <w:rsid w:val="00667CAA"/>
    <w:rsid w:val="00670714"/>
    <w:rsid w:val="006740B9"/>
    <w:rsid w:val="006759C4"/>
    <w:rsid w:val="00675F22"/>
    <w:rsid w:val="006765E4"/>
    <w:rsid w:val="00676611"/>
    <w:rsid w:val="0068326D"/>
    <w:rsid w:val="00685D3C"/>
    <w:rsid w:val="00685F3B"/>
    <w:rsid w:val="0068609B"/>
    <w:rsid w:val="0068617E"/>
    <w:rsid w:val="006914B1"/>
    <w:rsid w:val="00693699"/>
    <w:rsid w:val="0069419E"/>
    <w:rsid w:val="00695FFA"/>
    <w:rsid w:val="006A0672"/>
    <w:rsid w:val="006A09E2"/>
    <w:rsid w:val="006A452B"/>
    <w:rsid w:val="006A537C"/>
    <w:rsid w:val="006A59D8"/>
    <w:rsid w:val="006A5DBC"/>
    <w:rsid w:val="006A5E00"/>
    <w:rsid w:val="006A6888"/>
    <w:rsid w:val="006A6E93"/>
    <w:rsid w:val="006B153B"/>
    <w:rsid w:val="006B24BB"/>
    <w:rsid w:val="006B4896"/>
    <w:rsid w:val="006B57DD"/>
    <w:rsid w:val="006B59B7"/>
    <w:rsid w:val="006B59E5"/>
    <w:rsid w:val="006B5D57"/>
    <w:rsid w:val="006B7562"/>
    <w:rsid w:val="006C002B"/>
    <w:rsid w:val="006C0223"/>
    <w:rsid w:val="006C091C"/>
    <w:rsid w:val="006C0D84"/>
    <w:rsid w:val="006C1BAE"/>
    <w:rsid w:val="006C1F0C"/>
    <w:rsid w:val="006C5D25"/>
    <w:rsid w:val="006C6600"/>
    <w:rsid w:val="006D2B64"/>
    <w:rsid w:val="006D45AD"/>
    <w:rsid w:val="006D48A6"/>
    <w:rsid w:val="006D5410"/>
    <w:rsid w:val="006D6BFA"/>
    <w:rsid w:val="006E0071"/>
    <w:rsid w:val="006E109B"/>
    <w:rsid w:val="006E21D4"/>
    <w:rsid w:val="006E2200"/>
    <w:rsid w:val="006E2F4C"/>
    <w:rsid w:val="006E3FE3"/>
    <w:rsid w:val="006E52B8"/>
    <w:rsid w:val="006E61D5"/>
    <w:rsid w:val="006E7952"/>
    <w:rsid w:val="006F00AD"/>
    <w:rsid w:val="006F0525"/>
    <w:rsid w:val="006F2F1D"/>
    <w:rsid w:val="006F32D4"/>
    <w:rsid w:val="006F408F"/>
    <w:rsid w:val="006F7224"/>
    <w:rsid w:val="006F7E16"/>
    <w:rsid w:val="00705668"/>
    <w:rsid w:val="00705C76"/>
    <w:rsid w:val="00707ADF"/>
    <w:rsid w:val="00707D25"/>
    <w:rsid w:val="00710D88"/>
    <w:rsid w:val="007116CF"/>
    <w:rsid w:val="00711E0B"/>
    <w:rsid w:val="0071504C"/>
    <w:rsid w:val="007204C2"/>
    <w:rsid w:val="00721B1E"/>
    <w:rsid w:val="0072304F"/>
    <w:rsid w:val="00723966"/>
    <w:rsid w:val="007255C2"/>
    <w:rsid w:val="007259B6"/>
    <w:rsid w:val="007261F0"/>
    <w:rsid w:val="00727411"/>
    <w:rsid w:val="00727485"/>
    <w:rsid w:val="007320D7"/>
    <w:rsid w:val="007339A4"/>
    <w:rsid w:val="00734095"/>
    <w:rsid w:val="00735576"/>
    <w:rsid w:val="00735EDA"/>
    <w:rsid w:val="00735F9E"/>
    <w:rsid w:val="00736142"/>
    <w:rsid w:val="00736679"/>
    <w:rsid w:val="00740306"/>
    <w:rsid w:val="007417D5"/>
    <w:rsid w:val="00741914"/>
    <w:rsid w:val="00743F86"/>
    <w:rsid w:val="00744CE7"/>
    <w:rsid w:val="00746C69"/>
    <w:rsid w:val="00750033"/>
    <w:rsid w:val="00750627"/>
    <w:rsid w:val="007533AA"/>
    <w:rsid w:val="00754524"/>
    <w:rsid w:val="007562BC"/>
    <w:rsid w:val="00756637"/>
    <w:rsid w:val="007568C8"/>
    <w:rsid w:val="00756BB8"/>
    <w:rsid w:val="00757682"/>
    <w:rsid w:val="007576A7"/>
    <w:rsid w:val="007579A5"/>
    <w:rsid w:val="007653F3"/>
    <w:rsid w:val="00765F9A"/>
    <w:rsid w:val="00767447"/>
    <w:rsid w:val="007717E3"/>
    <w:rsid w:val="00771DA4"/>
    <w:rsid w:val="007746B3"/>
    <w:rsid w:val="00774A91"/>
    <w:rsid w:val="00780372"/>
    <w:rsid w:val="0078336E"/>
    <w:rsid w:val="00785907"/>
    <w:rsid w:val="0078644D"/>
    <w:rsid w:val="00787EF0"/>
    <w:rsid w:val="00791CF9"/>
    <w:rsid w:val="00793855"/>
    <w:rsid w:val="00793D70"/>
    <w:rsid w:val="00794B75"/>
    <w:rsid w:val="00797197"/>
    <w:rsid w:val="007A04F2"/>
    <w:rsid w:val="007A1580"/>
    <w:rsid w:val="007A46B8"/>
    <w:rsid w:val="007A5A48"/>
    <w:rsid w:val="007A6D61"/>
    <w:rsid w:val="007A70FC"/>
    <w:rsid w:val="007B0A90"/>
    <w:rsid w:val="007B0ECB"/>
    <w:rsid w:val="007B10E6"/>
    <w:rsid w:val="007B3A29"/>
    <w:rsid w:val="007B6355"/>
    <w:rsid w:val="007C1DB3"/>
    <w:rsid w:val="007C1E90"/>
    <w:rsid w:val="007C259E"/>
    <w:rsid w:val="007C465C"/>
    <w:rsid w:val="007C5E6E"/>
    <w:rsid w:val="007C796A"/>
    <w:rsid w:val="007C7BDA"/>
    <w:rsid w:val="007D24DF"/>
    <w:rsid w:val="007D26F6"/>
    <w:rsid w:val="007D4199"/>
    <w:rsid w:val="007D5CBE"/>
    <w:rsid w:val="007D71A3"/>
    <w:rsid w:val="007E4701"/>
    <w:rsid w:val="007F1E79"/>
    <w:rsid w:val="007F297B"/>
    <w:rsid w:val="007F33F9"/>
    <w:rsid w:val="007F3EA6"/>
    <w:rsid w:val="007F4F52"/>
    <w:rsid w:val="007F4F5E"/>
    <w:rsid w:val="00803EA1"/>
    <w:rsid w:val="008061EB"/>
    <w:rsid w:val="00806279"/>
    <w:rsid w:val="00806467"/>
    <w:rsid w:val="00806593"/>
    <w:rsid w:val="008079E2"/>
    <w:rsid w:val="00807CE4"/>
    <w:rsid w:val="00810F77"/>
    <w:rsid w:val="00811D75"/>
    <w:rsid w:val="00814169"/>
    <w:rsid w:val="00817593"/>
    <w:rsid w:val="00817692"/>
    <w:rsid w:val="0081780F"/>
    <w:rsid w:val="00821261"/>
    <w:rsid w:val="008217CA"/>
    <w:rsid w:val="00822643"/>
    <w:rsid w:val="00823D9A"/>
    <w:rsid w:val="00825E2E"/>
    <w:rsid w:val="008276F1"/>
    <w:rsid w:val="00835E78"/>
    <w:rsid w:val="008370F3"/>
    <w:rsid w:val="00841AEB"/>
    <w:rsid w:val="00842B51"/>
    <w:rsid w:val="00846485"/>
    <w:rsid w:val="00852673"/>
    <w:rsid w:val="00855ACB"/>
    <w:rsid w:val="00857708"/>
    <w:rsid w:val="00860378"/>
    <w:rsid w:val="00861572"/>
    <w:rsid w:val="00865B3A"/>
    <w:rsid w:val="008669B5"/>
    <w:rsid w:val="00866FE6"/>
    <w:rsid w:val="00870B07"/>
    <w:rsid w:val="00873C83"/>
    <w:rsid w:val="00874300"/>
    <w:rsid w:val="00876F35"/>
    <w:rsid w:val="00877042"/>
    <w:rsid w:val="008817DD"/>
    <w:rsid w:val="008817FA"/>
    <w:rsid w:val="00881CA6"/>
    <w:rsid w:val="008822C0"/>
    <w:rsid w:val="0088270D"/>
    <w:rsid w:val="008844CD"/>
    <w:rsid w:val="00885507"/>
    <w:rsid w:val="0088578B"/>
    <w:rsid w:val="00885938"/>
    <w:rsid w:val="00886571"/>
    <w:rsid w:val="00887B1A"/>
    <w:rsid w:val="00890DB1"/>
    <w:rsid w:val="0089395A"/>
    <w:rsid w:val="008943C6"/>
    <w:rsid w:val="008A038B"/>
    <w:rsid w:val="008A0845"/>
    <w:rsid w:val="008A1F4A"/>
    <w:rsid w:val="008A21DC"/>
    <w:rsid w:val="008A2A50"/>
    <w:rsid w:val="008A6AC4"/>
    <w:rsid w:val="008A70CE"/>
    <w:rsid w:val="008B11B8"/>
    <w:rsid w:val="008B23F4"/>
    <w:rsid w:val="008C03AC"/>
    <w:rsid w:val="008C3B63"/>
    <w:rsid w:val="008C52E4"/>
    <w:rsid w:val="008C544C"/>
    <w:rsid w:val="008C6767"/>
    <w:rsid w:val="008C7477"/>
    <w:rsid w:val="008D0653"/>
    <w:rsid w:val="008D0A7A"/>
    <w:rsid w:val="008D28EB"/>
    <w:rsid w:val="008D3723"/>
    <w:rsid w:val="008D4B46"/>
    <w:rsid w:val="008D6109"/>
    <w:rsid w:val="008D6786"/>
    <w:rsid w:val="008D7C75"/>
    <w:rsid w:val="008E3F7D"/>
    <w:rsid w:val="008F396C"/>
    <w:rsid w:val="008F399A"/>
    <w:rsid w:val="008F3C93"/>
    <w:rsid w:val="008F45D3"/>
    <w:rsid w:val="008F7B65"/>
    <w:rsid w:val="00900EE6"/>
    <w:rsid w:val="00901AC4"/>
    <w:rsid w:val="00901BD7"/>
    <w:rsid w:val="00901C2D"/>
    <w:rsid w:val="00902A25"/>
    <w:rsid w:val="00903896"/>
    <w:rsid w:val="0090457A"/>
    <w:rsid w:val="00904DBB"/>
    <w:rsid w:val="00906D2C"/>
    <w:rsid w:val="00910428"/>
    <w:rsid w:val="00910667"/>
    <w:rsid w:val="0091201A"/>
    <w:rsid w:val="00912550"/>
    <w:rsid w:val="00912551"/>
    <w:rsid w:val="00913F93"/>
    <w:rsid w:val="00914318"/>
    <w:rsid w:val="00914DF7"/>
    <w:rsid w:val="00916B76"/>
    <w:rsid w:val="0091731C"/>
    <w:rsid w:val="009178B9"/>
    <w:rsid w:val="00917BF8"/>
    <w:rsid w:val="00920351"/>
    <w:rsid w:val="00920CCC"/>
    <w:rsid w:val="009216EF"/>
    <w:rsid w:val="00921987"/>
    <w:rsid w:val="00921B2D"/>
    <w:rsid w:val="00922611"/>
    <w:rsid w:val="00924358"/>
    <w:rsid w:val="0092449D"/>
    <w:rsid w:val="009300AC"/>
    <w:rsid w:val="00933646"/>
    <w:rsid w:val="009368AD"/>
    <w:rsid w:val="00940154"/>
    <w:rsid w:val="0094139B"/>
    <w:rsid w:val="00941483"/>
    <w:rsid w:val="00941641"/>
    <w:rsid w:val="0094299B"/>
    <w:rsid w:val="00942DE2"/>
    <w:rsid w:val="00944D51"/>
    <w:rsid w:val="00945AB7"/>
    <w:rsid w:val="00947090"/>
    <w:rsid w:val="009474ED"/>
    <w:rsid w:val="00950C2D"/>
    <w:rsid w:val="009527C6"/>
    <w:rsid w:val="00952BA6"/>
    <w:rsid w:val="00953460"/>
    <w:rsid w:val="00956234"/>
    <w:rsid w:val="009569B9"/>
    <w:rsid w:val="0095704D"/>
    <w:rsid w:val="009604F5"/>
    <w:rsid w:val="00960834"/>
    <w:rsid w:val="00960AC0"/>
    <w:rsid w:val="00961C17"/>
    <w:rsid w:val="00965108"/>
    <w:rsid w:val="00967ADA"/>
    <w:rsid w:val="00970180"/>
    <w:rsid w:val="00970917"/>
    <w:rsid w:val="009709ED"/>
    <w:rsid w:val="009721AB"/>
    <w:rsid w:val="009735B4"/>
    <w:rsid w:val="009736E4"/>
    <w:rsid w:val="0097488B"/>
    <w:rsid w:val="009749FA"/>
    <w:rsid w:val="00975655"/>
    <w:rsid w:val="00975822"/>
    <w:rsid w:val="00975EA4"/>
    <w:rsid w:val="00976286"/>
    <w:rsid w:val="0098143E"/>
    <w:rsid w:val="00983B52"/>
    <w:rsid w:val="00983D5F"/>
    <w:rsid w:val="009844A2"/>
    <w:rsid w:val="00985C27"/>
    <w:rsid w:val="00985D5D"/>
    <w:rsid w:val="00990A53"/>
    <w:rsid w:val="00990D16"/>
    <w:rsid w:val="00990F55"/>
    <w:rsid w:val="009925CA"/>
    <w:rsid w:val="00994060"/>
    <w:rsid w:val="009943E4"/>
    <w:rsid w:val="009962FE"/>
    <w:rsid w:val="00996634"/>
    <w:rsid w:val="009A057E"/>
    <w:rsid w:val="009A11F9"/>
    <w:rsid w:val="009A161A"/>
    <w:rsid w:val="009A22AA"/>
    <w:rsid w:val="009A28BE"/>
    <w:rsid w:val="009A3254"/>
    <w:rsid w:val="009A5A72"/>
    <w:rsid w:val="009A61B0"/>
    <w:rsid w:val="009B0CE2"/>
    <w:rsid w:val="009B1196"/>
    <w:rsid w:val="009B2A3A"/>
    <w:rsid w:val="009B7095"/>
    <w:rsid w:val="009B7AFC"/>
    <w:rsid w:val="009C3D96"/>
    <w:rsid w:val="009C42A2"/>
    <w:rsid w:val="009C48FE"/>
    <w:rsid w:val="009C5606"/>
    <w:rsid w:val="009C5E29"/>
    <w:rsid w:val="009D066C"/>
    <w:rsid w:val="009D430C"/>
    <w:rsid w:val="009D495B"/>
    <w:rsid w:val="009D5179"/>
    <w:rsid w:val="009D5C88"/>
    <w:rsid w:val="009D66C4"/>
    <w:rsid w:val="009D71B0"/>
    <w:rsid w:val="009E046B"/>
    <w:rsid w:val="009E2864"/>
    <w:rsid w:val="009E5093"/>
    <w:rsid w:val="009E5F05"/>
    <w:rsid w:val="009F0006"/>
    <w:rsid w:val="009F0AC2"/>
    <w:rsid w:val="009F3DEC"/>
    <w:rsid w:val="009F4E74"/>
    <w:rsid w:val="009F6AE3"/>
    <w:rsid w:val="00A00D95"/>
    <w:rsid w:val="00A035EF"/>
    <w:rsid w:val="00A060DF"/>
    <w:rsid w:val="00A06443"/>
    <w:rsid w:val="00A06B7A"/>
    <w:rsid w:val="00A1020A"/>
    <w:rsid w:val="00A127A2"/>
    <w:rsid w:val="00A14B50"/>
    <w:rsid w:val="00A1512B"/>
    <w:rsid w:val="00A17114"/>
    <w:rsid w:val="00A176CD"/>
    <w:rsid w:val="00A237FB"/>
    <w:rsid w:val="00A23B05"/>
    <w:rsid w:val="00A25120"/>
    <w:rsid w:val="00A27394"/>
    <w:rsid w:val="00A32A58"/>
    <w:rsid w:val="00A36FFB"/>
    <w:rsid w:val="00A37082"/>
    <w:rsid w:val="00A3770B"/>
    <w:rsid w:val="00A37AA2"/>
    <w:rsid w:val="00A401DF"/>
    <w:rsid w:val="00A40F2A"/>
    <w:rsid w:val="00A41EF0"/>
    <w:rsid w:val="00A42256"/>
    <w:rsid w:val="00A5078E"/>
    <w:rsid w:val="00A53274"/>
    <w:rsid w:val="00A54C4F"/>
    <w:rsid w:val="00A5737E"/>
    <w:rsid w:val="00A574E4"/>
    <w:rsid w:val="00A60F7D"/>
    <w:rsid w:val="00A61383"/>
    <w:rsid w:val="00A620DF"/>
    <w:rsid w:val="00A62D69"/>
    <w:rsid w:val="00A6588E"/>
    <w:rsid w:val="00A66CB8"/>
    <w:rsid w:val="00A674BA"/>
    <w:rsid w:val="00A713EE"/>
    <w:rsid w:val="00A7167F"/>
    <w:rsid w:val="00A71B64"/>
    <w:rsid w:val="00A7614C"/>
    <w:rsid w:val="00A77796"/>
    <w:rsid w:val="00A8044A"/>
    <w:rsid w:val="00A805AA"/>
    <w:rsid w:val="00A80ABC"/>
    <w:rsid w:val="00A83883"/>
    <w:rsid w:val="00A8472B"/>
    <w:rsid w:val="00A84D64"/>
    <w:rsid w:val="00A86284"/>
    <w:rsid w:val="00A863E9"/>
    <w:rsid w:val="00A86416"/>
    <w:rsid w:val="00A87851"/>
    <w:rsid w:val="00A943C8"/>
    <w:rsid w:val="00A963B0"/>
    <w:rsid w:val="00AA075F"/>
    <w:rsid w:val="00AA56F6"/>
    <w:rsid w:val="00AA5734"/>
    <w:rsid w:val="00AA6B95"/>
    <w:rsid w:val="00AA7FCC"/>
    <w:rsid w:val="00AB0EAE"/>
    <w:rsid w:val="00AB4956"/>
    <w:rsid w:val="00AB50C6"/>
    <w:rsid w:val="00AB630D"/>
    <w:rsid w:val="00AB634D"/>
    <w:rsid w:val="00AB704B"/>
    <w:rsid w:val="00AB717F"/>
    <w:rsid w:val="00AC0265"/>
    <w:rsid w:val="00AC269B"/>
    <w:rsid w:val="00AC369B"/>
    <w:rsid w:val="00AC36C2"/>
    <w:rsid w:val="00AC60D8"/>
    <w:rsid w:val="00AC6AB2"/>
    <w:rsid w:val="00AD022B"/>
    <w:rsid w:val="00AD5729"/>
    <w:rsid w:val="00AD59F7"/>
    <w:rsid w:val="00AD5A8B"/>
    <w:rsid w:val="00AD757A"/>
    <w:rsid w:val="00AE1A1E"/>
    <w:rsid w:val="00AE3A45"/>
    <w:rsid w:val="00AE423A"/>
    <w:rsid w:val="00AE4DB2"/>
    <w:rsid w:val="00AE6F58"/>
    <w:rsid w:val="00AF0266"/>
    <w:rsid w:val="00AF2324"/>
    <w:rsid w:val="00AF3860"/>
    <w:rsid w:val="00AF4BF0"/>
    <w:rsid w:val="00AF57A0"/>
    <w:rsid w:val="00B00729"/>
    <w:rsid w:val="00B009DE"/>
    <w:rsid w:val="00B034A4"/>
    <w:rsid w:val="00B03CCC"/>
    <w:rsid w:val="00B04072"/>
    <w:rsid w:val="00B05714"/>
    <w:rsid w:val="00B06DAB"/>
    <w:rsid w:val="00B078D7"/>
    <w:rsid w:val="00B12E34"/>
    <w:rsid w:val="00B12F84"/>
    <w:rsid w:val="00B17B7D"/>
    <w:rsid w:val="00B20A02"/>
    <w:rsid w:val="00B21542"/>
    <w:rsid w:val="00B2159B"/>
    <w:rsid w:val="00B22160"/>
    <w:rsid w:val="00B251F3"/>
    <w:rsid w:val="00B265B1"/>
    <w:rsid w:val="00B30618"/>
    <w:rsid w:val="00B31E5A"/>
    <w:rsid w:val="00B32172"/>
    <w:rsid w:val="00B3382F"/>
    <w:rsid w:val="00B34E06"/>
    <w:rsid w:val="00B3505C"/>
    <w:rsid w:val="00B35E07"/>
    <w:rsid w:val="00B37FB0"/>
    <w:rsid w:val="00B4182B"/>
    <w:rsid w:val="00B42507"/>
    <w:rsid w:val="00B42DC9"/>
    <w:rsid w:val="00B434EC"/>
    <w:rsid w:val="00B45C52"/>
    <w:rsid w:val="00B46DFE"/>
    <w:rsid w:val="00B479CC"/>
    <w:rsid w:val="00B50ACA"/>
    <w:rsid w:val="00B5122C"/>
    <w:rsid w:val="00B51B74"/>
    <w:rsid w:val="00B53D55"/>
    <w:rsid w:val="00B5421E"/>
    <w:rsid w:val="00B55086"/>
    <w:rsid w:val="00B55F43"/>
    <w:rsid w:val="00B606BA"/>
    <w:rsid w:val="00B62F82"/>
    <w:rsid w:val="00B634A4"/>
    <w:rsid w:val="00B64053"/>
    <w:rsid w:val="00B702BF"/>
    <w:rsid w:val="00B71FC9"/>
    <w:rsid w:val="00B720FB"/>
    <w:rsid w:val="00B72818"/>
    <w:rsid w:val="00B72BC3"/>
    <w:rsid w:val="00B73552"/>
    <w:rsid w:val="00B73A06"/>
    <w:rsid w:val="00B74144"/>
    <w:rsid w:val="00B7441F"/>
    <w:rsid w:val="00B74D02"/>
    <w:rsid w:val="00B75A4C"/>
    <w:rsid w:val="00B75E0B"/>
    <w:rsid w:val="00B767E8"/>
    <w:rsid w:val="00B7734D"/>
    <w:rsid w:val="00B7765B"/>
    <w:rsid w:val="00B77F4F"/>
    <w:rsid w:val="00B801D4"/>
    <w:rsid w:val="00B81029"/>
    <w:rsid w:val="00B81383"/>
    <w:rsid w:val="00B823C6"/>
    <w:rsid w:val="00B82F1C"/>
    <w:rsid w:val="00B83046"/>
    <w:rsid w:val="00B8637D"/>
    <w:rsid w:val="00B8732C"/>
    <w:rsid w:val="00B907E4"/>
    <w:rsid w:val="00B90AC1"/>
    <w:rsid w:val="00B9166B"/>
    <w:rsid w:val="00B91D9E"/>
    <w:rsid w:val="00B967F9"/>
    <w:rsid w:val="00B97F5A"/>
    <w:rsid w:val="00BA37B3"/>
    <w:rsid w:val="00BA3FBE"/>
    <w:rsid w:val="00BA4FCD"/>
    <w:rsid w:val="00BA677A"/>
    <w:rsid w:val="00BA6894"/>
    <w:rsid w:val="00BA6E37"/>
    <w:rsid w:val="00BA7B1B"/>
    <w:rsid w:val="00BB08A2"/>
    <w:rsid w:val="00BB0E69"/>
    <w:rsid w:val="00BB1613"/>
    <w:rsid w:val="00BB2D65"/>
    <w:rsid w:val="00BB6636"/>
    <w:rsid w:val="00BB7650"/>
    <w:rsid w:val="00BC0406"/>
    <w:rsid w:val="00BC0C00"/>
    <w:rsid w:val="00BC0F9C"/>
    <w:rsid w:val="00BC26A7"/>
    <w:rsid w:val="00BC391D"/>
    <w:rsid w:val="00BC4788"/>
    <w:rsid w:val="00BC4F11"/>
    <w:rsid w:val="00BC6FBD"/>
    <w:rsid w:val="00BC77F9"/>
    <w:rsid w:val="00BD470B"/>
    <w:rsid w:val="00BD690B"/>
    <w:rsid w:val="00BD6975"/>
    <w:rsid w:val="00BD73CD"/>
    <w:rsid w:val="00BD7D02"/>
    <w:rsid w:val="00BD7D7A"/>
    <w:rsid w:val="00BE086D"/>
    <w:rsid w:val="00BE6BEE"/>
    <w:rsid w:val="00BF2A71"/>
    <w:rsid w:val="00BF352F"/>
    <w:rsid w:val="00BF36F5"/>
    <w:rsid w:val="00BF3C58"/>
    <w:rsid w:val="00BF4745"/>
    <w:rsid w:val="00BF5235"/>
    <w:rsid w:val="00BF53C6"/>
    <w:rsid w:val="00BF75E7"/>
    <w:rsid w:val="00C0068F"/>
    <w:rsid w:val="00C00C2F"/>
    <w:rsid w:val="00C047A2"/>
    <w:rsid w:val="00C050E5"/>
    <w:rsid w:val="00C06985"/>
    <w:rsid w:val="00C078A1"/>
    <w:rsid w:val="00C11A63"/>
    <w:rsid w:val="00C17DBF"/>
    <w:rsid w:val="00C21A3A"/>
    <w:rsid w:val="00C232BB"/>
    <w:rsid w:val="00C2331F"/>
    <w:rsid w:val="00C23C55"/>
    <w:rsid w:val="00C261C5"/>
    <w:rsid w:val="00C3017C"/>
    <w:rsid w:val="00C30A98"/>
    <w:rsid w:val="00C30BBB"/>
    <w:rsid w:val="00C31716"/>
    <w:rsid w:val="00C326AA"/>
    <w:rsid w:val="00C32EDE"/>
    <w:rsid w:val="00C33C5C"/>
    <w:rsid w:val="00C342DD"/>
    <w:rsid w:val="00C364BE"/>
    <w:rsid w:val="00C36EAF"/>
    <w:rsid w:val="00C37361"/>
    <w:rsid w:val="00C37D5E"/>
    <w:rsid w:val="00C403B2"/>
    <w:rsid w:val="00C409F8"/>
    <w:rsid w:val="00C40E69"/>
    <w:rsid w:val="00C42066"/>
    <w:rsid w:val="00C42406"/>
    <w:rsid w:val="00C4285A"/>
    <w:rsid w:val="00C42E78"/>
    <w:rsid w:val="00C45596"/>
    <w:rsid w:val="00C45E6F"/>
    <w:rsid w:val="00C46C09"/>
    <w:rsid w:val="00C46E47"/>
    <w:rsid w:val="00C47A61"/>
    <w:rsid w:val="00C51ADC"/>
    <w:rsid w:val="00C5442E"/>
    <w:rsid w:val="00C60151"/>
    <w:rsid w:val="00C62023"/>
    <w:rsid w:val="00C63457"/>
    <w:rsid w:val="00C64977"/>
    <w:rsid w:val="00C65AC4"/>
    <w:rsid w:val="00C6692F"/>
    <w:rsid w:val="00C669B1"/>
    <w:rsid w:val="00C7096A"/>
    <w:rsid w:val="00C71512"/>
    <w:rsid w:val="00C7236E"/>
    <w:rsid w:val="00C73ED5"/>
    <w:rsid w:val="00C76426"/>
    <w:rsid w:val="00C80F9E"/>
    <w:rsid w:val="00C81418"/>
    <w:rsid w:val="00C820D9"/>
    <w:rsid w:val="00C82C76"/>
    <w:rsid w:val="00C84A95"/>
    <w:rsid w:val="00C84EBB"/>
    <w:rsid w:val="00C851CF"/>
    <w:rsid w:val="00C85383"/>
    <w:rsid w:val="00C869FC"/>
    <w:rsid w:val="00C86D7D"/>
    <w:rsid w:val="00C86E13"/>
    <w:rsid w:val="00C924C8"/>
    <w:rsid w:val="00C96BBC"/>
    <w:rsid w:val="00CA0129"/>
    <w:rsid w:val="00CA2080"/>
    <w:rsid w:val="00CA5D5E"/>
    <w:rsid w:val="00CA61CF"/>
    <w:rsid w:val="00CA77BF"/>
    <w:rsid w:val="00CA7817"/>
    <w:rsid w:val="00CB0FDF"/>
    <w:rsid w:val="00CB2D1E"/>
    <w:rsid w:val="00CB34E5"/>
    <w:rsid w:val="00CB3882"/>
    <w:rsid w:val="00CB677C"/>
    <w:rsid w:val="00CC00A4"/>
    <w:rsid w:val="00CC20F2"/>
    <w:rsid w:val="00CC2DE6"/>
    <w:rsid w:val="00CC42DD"/>
    <w:rsid w:val="00CC4E00"/>
    <w:rsid w:val="00CC58F6"/>
    <w:rsid w:val="00CC7C3B"/>
    <w:rsid w:val="00CD05CC"/>
    <w:rsid w:val="00CD0898"/>
    <w:rsid w:val="00CD1183"/>
    <w:rsid w:val="00CD1663"/>
    <w:rsid w:val="00CD2EA7"/>
    <w:rsid w:val="00CD3333"/>
    <w:rsid w:val="00CD384E"/>
    <w:rsid w:val="00CD7AD3"/>
    <w:rsid w:val="00CE064D"/>
    <w:rsid w:val="00CE29B2"/>
    <w:rsid w:val="00CE2F7E"/>
    <w:rsid w:val="00CE3004"/>
    <w:rsid w:val="00CE5F6E"/>
    <w:rsid w:val="00CE7566"/>
    <w:rsid w:val="00CF01B7"/>
    <w:rsid w:val="00CF2C2C"/>
    <w:rsid w:val="00CF364C"/>
    <w:rsid w:val="00CF4AAD"/>
    <w:rsid w:val="00CF7300"/>
    <w:rsid w:val="00CF76E9"/>
    <w:rsid w:val="00D014D2"/>
    <w:rsid w:val="00D01886"/>
    <w:rsid w:val="00D01903"/>
    <w:rsid w:val="00D01C04"/>
    <w:rsid w:val="00D029AC"/>
    <w:rsid w:val="00D02CFF"/>
    <w:rsid w:val="00D030A9"/>
    <w:rsid w:val="00D03ABB"/>
    <w:rsid w:val="00D04E78"/>
    <w:rsid w:val="00D0675F"/>
    <w:rsid w:val="00D118DC"/>
    <w:rsid w:val="00D15B69"/>
    <w:rsid w:val="00D15BDA"/>
    <w:rsid w:val="00D166A8"/>
    <w:rsid w:val="00D167D1"/>
    <w:rsid w:val="00D219B9"/>
    <w:rsid w:val="00D21BB3"/>
    <w:rsid w:val="00D2211C"/>
    <w:rsid w:val="00D222FC"/>
    <w:rsid w:val="00D22C69"/>
    <w:rsid w:val="00D24462"/>
    <w:rsid w:val="00D2491E"/>
    <w:rsid w:val="00D25ADA"/>
    <w:rsid w:val="00D26E48"/>
    <w:rsid w:val="00D27826"/>
    <w:rsid w:val="00D31133"/>
    <w:rsid w:val="00D31790"/>
    <w:rsid w:val="00D32E2B"/>
    <w:rsid w:val="00D338DC"/>
    <w:rsid w:val="00D340D9"/>
    <w:rsid w:val="00D34B9E"/>
    <w:rsid w:val="00D352AF"/>
    <w:rsid w:val="00D35F3A"/>
    <w:rsid w:val="00D35FE3"/>
    <w:rsid w:val="00D369D1"/>
    <w:rsid w:val="00D37DB4"/>
    <w:rsid w:val="00D415A8"/>
    <w:rsid w:val="00D422B3"/>
    <w:rsid w:val="00D437D5"/>
    <w:rsid w:val="00D47A81"/>
    <w:rsid w:val="00D47B9A"/>
    <w:rsid w:val="00D50AE6"/>
    <w:rsid w:val="00D5464F"/>
    <w:rsid w:val="00D55175"/>
    <w:rsid w:val="00D56301"/>
    <w:rsid w:val="00D56811"/>
    <w:rsid w:val="00D620FA"/>
    <w:rsid w:val="00D629F5"/>
    <w:rsid w:val="00D6443C"/>
    <w:rsid w:val="00D651CC"/>
    <w:rsid w:val="00D67568"/>
    <w:rsid w:val="00D67B03"/>
    <w:rsid w:val="00D72C78"/>
    <w:rsid w:val="00D75DD5"/>
    <w:rsid w:val="00D85095"/>
    <w:rsid w:val="00D90EBA"/>
    <w:rsid w:val="00D915BA"/>
    <w:rsid w:val="00D92420"/>
    <w:rsid w:val="00D92B45"/>
    <w:rsid w:val="00D9342E"/>
    <w:rsid w:val="00D93456"/>
    <w:rsid w:val="00D93481"/>
    <w:rsid w:val="00D93695"/>
    <w:rsid w:val="00D95DBC"/>
    <w:rsid w:val="00D97BE5"/>
    <w:rsid w:val="00DA0088"/>
    <w:rsid w:val="00DA0195"/>
    <w:rsid w:val="00DA040F"/>
    <w:rsid w:val="00DA1B52"/>
    <w:rsid w:val="00DA3C58"/>
    <w:rsid w:val="00DA5555"/>
    <w:rsid w:val="00DA587C"/>
    <w:rsid w:val="00DA65A6"/>
    <w:rsid w:val="00DA6A1C"/>
    <w:rsid w:val="00DA760B"/>
    <w:rsid w:val="00DA7829"/>
    <w:rsid w:val="00DB0586"/>
    <w:rsid w:val="00DB0FDA"/>
    <w:rsid w:val="00DB2EE2"/>
    <w:rsid w:val="00DB38E3"/>
    <w:rsid w:val="00DB39DD"/>
    <w:rsid w:val="00DB3FE0"/>
    <w:rsid w:val="00DB74C9"/>
    <w:rsid w:val="00DB7D97"/>
    <w:rsid w:val="00DC3685"/>
    <w:rsid w:val="00DC41B8"/>
    <w:rsid w:val="00DC566A"/>
    <w:rsid w:val="00DC5D5E"/>
    <w:rsid w:val="00DC5F32"/>
    <w:rsid w:val="00DC6027"/>
    <w:rsid w:val="00DC6488"/>
    <w:rsid w:val="00DC7A6F"/>
    <w:rsid w:val="00DC7CA6"/>
    <w:rsid w:val="00DC7EDE"/>
    <w:rsid w:val="00DD1BD6"/>
    <w:rsid w:val="00DD38A6"/>
    <w:rsid w:val="00DD4BD2"/>
    <w:rsid w:val="00DD6D0E"/>
    <w:rsid w:val="00DE11BA"/>
    <w:rsid w:val="00DE17CC"/>
    <w:rsid w:val="00DE1A61"/>
    <w:rsid w:val="00DE20A8"/>
    <w:rsid w:val="00DE35FC"/>
    <w:rsid w:val="00DE451A"/>
    <w:rsid w:val="00DE5EDA"/>
    <w:rsid w:val="00DE6623"/>
    <w:rsid w:val="00DE6E63"/>
    <w:rsid w:val="00DF04FA"/>
    <w:rsid w:val="00DF1637"/>
    <w:rsid w:val="00DF53F5"/>
    <w:rsid w:val="00DF64D9"/>
    <w:rsid w:val="00DF66D6"/>
    <w:rsid w:val="00E02395"/>
    <w:rsid w:val="00E0483D"/>
    <w:rsid w:val="00E0673F"/>
    <w:rsid w:val="00E076B2"/>
    <w:rsid w:val="00E105A9"/>
    <w:rsid w:val="00E11659"/>
    <w:rsid w:val="00E11A63"/>
    <w:rsid w:val="00E127ED"/>
    <w:rsid w:val="00E12FEC"/>
    <w:rsid w:val="00E14457"/>
    <w:rsid w:val="00E1663B"/>
    <w:rsid w:val="00E176BC"/>
    <w:rsid w:val="00E205B6"/>
    <w:rsid w:val="00E22357"/>
    <w:rsid w:val="00E22A08"/>
    <w:rsid w:val="00E22E8A"/>
    <w:rsid w:val="00E23D62"/>
    <w:rsid w:val="00E34E0C"/>
    <w:rsid w:val="00E36A42"/>
    <w:rsid w:val="00E36B0E"/>
    <w:rsid w:val="00E36C44"/>
    <w:rsid w:val="00E37C3B"/>
    <w:rsid w:val="00E41609"/>
    <w:rsid w:val="00E41641"/>
    <w:rsid w:val="00E41C32"/>
    <w:rsid w:val="00E42063"/>
    <w:rsid w:val="00E42119"/>
    <w:rsid w:val="00E43F8E"/>
    <w:rsid w:val="00E44541"/>
    <w:rsid w:val="00E508D1"/>
    <w:rsid w:val="00E51201"/>
    <w:rsid w:val="00E53468"/>
    <w:rsid w:val="00E55D93"/>
    <w:rsid w:val="00E56494"/>
    <w:rsid w:val="00E5748E"/>
    <w:rsid w:val="00E62F08"/>
    <w:rsid w:val="00E65404"/>
    <w:rsid w:val="00E65EDB"/>
    <w:rsid w:val="00E67417"/>
    <w:rsid w:val="00E70462"/>
    <w:rsid w:val="00E705E9"/>
    <w:rsid w:val="00E70656"/>
    <w:rsid w:val="00E70CE5"/>
    <w:rsid w:val="00E7266E"/>
    <w:rsid w:val="00E72F8E"/>
    <w:rsid w:val="00E7341E"/>
    <w:rsid w:val="00E73CC2"/>
    <w:rsid w:val="00E7591D"/>
    <w:rsid w:val="00E8195C"/>
    <w:rsid w:val="00E82721"/>
    <w:rsid w:val="00E83114"/>
    <w:rsid w:val="00E833B5"/>
    <w:rsid w:val="00E83EA8"/>
    <w:rsid w:val="00E8426A"/>
    <w:rsid w:val="00E85757"/>
    <w:rsid w:val="00E858DF"/>
    <w:rsid w:val="00E85E6B"/>
    <w:rsid w:val="00E85F6F"/>
    <w:rsid w:val="00E87B55"/>
    <w:rsid w:val="00E9146F"/>
    <w:rsid w:val="00E91DC8"/>
    <w:rsid w:val="00E91EB2"/>
    <w:rsid w:val="00E930D5"/>
    <w:rsid w:val="00E9374E"/>
    <w:rsid w:val="00E95CAB"/>
    <w:rsid w:val="00E97FF0"/>
    <w:rsid w:val="00EA191C"/>
    <w:rsid w:val="00EA24DE"/>
    <w:rsid w:val="00EA2826"/>
    <w:rsid w:val="00EA2F93"/>
    <w:rsid w:val="00EA3FA7"/>
    <w:rsid w:val="00EA556C"/>
    <w:rsid w:val="00EA5BD8"/>
    <w:rsid w:val="00EA5CE0"/>
    <w:rsid w:val="00EA72D6"/>
    <w:rsid w:val="00EA73E6"/>
    <w:rsid w:val="00EB2A62"/>
    <w:rsid w:val="00EB3F9B"/>
    <w:rsid w:val="00EB5FA9"/>
    <w:rsid w:val="00EB69AD"/>
    <w:rsid w:val="00EC0D91"/>
    <w:rsid w:val="00EC11C6"/>
    <w:rsid w:val="00EC143E"/>
    <w:rsid w:val="00EC235E"/>
    <w:rsid w:val="00EC2D41"/>
    <w:rsid w:val="00EC2D6E"/>
    <w:rsid w:val="00EC3DB0"/>
    <w:rsid w:val="00EC419B"/>
    <w:rsid w:val="00EC78AF"/>
    <w:rsid w:val="00ED0051"/>
    <w:rsid w:val="00ED18CA"/>
    <w:rsid w:val="00ED2953"/>
    <w:rsid w:val="00ED308D"/>
    <w:rsid w:val="00ED44EA"/>
    <w:rsid w:val="00EE0DE8"/>
    <w:rsid w:val="00EE12F0"/>
    <w:rsid w:val="00EE25D6"/>
    <w:rsid w:val="00EE28FB"/>
    <w:rsid w:val="00EE322D"/>
    <w:rsid w:val="00EE34AB"/>
    <w:rsid w:val="00EE4447"/>
    <w:rsid w:val="00EE5FD4"/>
    <w:rsid w:val="00EE60F1"/>
    <w:rsid w:val="00EE7DBF"/>
    <w:rsid w:val="00EF0A0D"/>
    <w:rsid w:val="00EF1A23"/>
    <w:rsid w:val="00EF3ABE"/>
    <w:rsid w:val="00EF6CF5"/>
    <w:rsid w:val="00EF7194"/>
    <w:rsid w:val="00EF758A"/>
    <w:rsid w:val="00F0185D"/>
    <w:rsid w:val="00F0232E"/>
    <w:rsid w:val="00F02753"/>
    <w:rsid w:val="00F049AE"/>
    <w:rsid w:val="00F07366"/>
    <w:rsid w:val="00F07C1F"/>
    <w:rsid w:val="00F107BB"/>
    <w:rsid w:val="00F10CEE"/>
    <w:rsid w:val="00F10F66"/>
    <w:rsid w:val="00F13552"/>
    <w:rsid w:val="00F15077"/>
    <w:rsid w:val="00F157C4"/>
    <w:rsid w:val="00F201CB"/>
    <w:rsid w:val="00F206F8"/>
    <w:rsid w:val="00F21454"/>
    <w:rsid w:val="00F224A1"/>
    <w:rsid w:val="00F23C25"/>
    <w:rsid w:val="00F2698B"/>
    <w:rsid w:val="00F30430"/>
    <w:rsid w:val="00F30806"/>
    <w:rsid w:val="00F30DE2"/>
    <w:rsid w:val="00F32485"/>
    <w:rsid w:val="00F33243"/>
    <w:rsid w:val="00F3389F"/>
    <w:rsid w:val="00F33DA4"/>
    <w:rsid w:val="00F34609"/>
    <w:rsid w:val="00F356A6"/>
    <w:rsid w:val="00F364F6"/>
    <w:rsid w:val="00F36792"/>
    <w:rsid w:val="00F3704C"/>
    <w:rsid w:val="00F37C83"/>
    <w:rsid w:val="00F37D92"/>
    <w:rsid w:val="00F40E19"/>
    <w:rsid w:val="00F46A0C"/>
    <w:rsid w:val="00F46C03"/>
    <w:rsid w:val="00F47441"/>
    <w:rsid w:val="00F5156C"/>
    <w:rsid w:val="00F52DE6"/>
    <w:rsid w:val="00F52EAC"/>
    <w:rsid w:val="00F5321F"/>
    <w:rsid w:val="00F565C0"/>
    <w:rsid w:val="00F57707"/>
    <w:rsid w:val="00F6136D"/>
    <w:rsid w:val="00F622E2"/>
    <w:rsid w:val="00F62AF8"/>
    <w:rsid w:val="00F644D8"/>
    <w:rsid w:val="00F66766"/>
    <w:rsid w:val="00F6739F"/>
    <w:rsid w:val="00F70293"/>
    <w:rsid w:val="00F707C8"/>
    <w:rsid w:val="00F73910"/>
    <w:rsid w:val="00F764BF"/>
    <w:rsid w:val="00F77085"/>
    <w:rsid w:val="00F84887"/>
    <w:rsid w:val="00F86A5D"/>
    <w:rsid w:val="00F86F8B"/>
    <w:rsid w:val="00F86FB5"/>
    <w:rsid w:val="00F871A7"/>
    <w:rsid w:val="00F87494"/>
    <w:rsid w:val="00F93ECE"/>
    <w:rsid w:val="00F94E2C"/>
    <w:rsid w:val="00F95A85"/>
    <w:rsid w:val="00F9698D"/>
    <w:rsid w:val="00FA11DD"/>
    <w:rsid w:val="00FA14FE"/>
    <w:rsid w:val="00FA287F"/>
    <w:rsid w:val="00FA33A9"/>
    <w:rsid w:val="00FA370A"/>
    <w:rsid w:val="00FA42D4"/>
    <w:rsid w:val="00FA5B1C"/>
    <w:rsid w:val="00FA6129"/>
    <w:rsid w:val="00FB0A1E"/>
    <w:rsid w:val="00FB336A"/>
    <w:rsid w:val="00FB402A"/>
    <w:rsid w:val="00FB524D"/>
    <w:rsid w:val="00FB703D"/>
    <w:rsid w:val="00FC18E0"/>
    <w:rsid w:val="00FC772B"/>
    <w:rsid w:val="00FC7BFD"/>
    <w:rsid w:val="00FD266E"/>
    <w:rsid w:val="00FD448C"/>
    <w:rsid w:val="00FD4996"/>
    <w:rsid w:val="00FD7243"/>
    <w:rsid w:val="00FD7537"/>
    <w:rsid w:val="00FE2666"/>
    <w:rsid w:val="00FE3B63"/>
    <w:rsid w:val="00FE4841"/>
    <w:rsid w:val="00FE590A"/>
    <w:rsid w:val="00FE6457"/>
    <w:rsid w:val="00FE6C85"/>
    <w:rsid w:val="00FF0FC5"/>
    <w:rsid w:val="00FF3989"/>
    <w:rsid w:val="00FF3C6E"/>
    <w:rsid w:val="00FF449B"/>
    <w:rsid w:val="00FF6195"/>
    <w:rsid w:val="00FF70E6"/>
    <w:rsid w:val="00FF788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C9"/>
    <w:pPr>
      <w:autoSpaceDE w:val="0"/>
      <w:autoSpaceDN w:val="0"/>
      <w:adjustRightInd w:val="0"/>
      <w:spacing w:after="240" w:line="360" w:lineRule="auto"/>
      <w:jc w:val="both"/>
    </w:pPr>
    <w:rPr>
      <w:rFonts w:ascii="Times New Roman" w:eastAsia="Calibri" w:hAnsi="Times New Roman" w:cs="Times New Roman"/>
      <w:bCs/>
      <w:color w:val="000000"/>
      <w:sz w:val="24"/>
      <w:szCs w:val="24"/>
      <w:lang w:eastAsia="zh-CN"/>
    </w:rPr>
  </w:style>
  <w:style w:type="paragraph" w:styleId="Titre1">
    <w:name w:val="heading 1"/>
    <w:basedOn w:val="Normal"/>
    <w:next w:val="Normal"/>
    <w:link w:val="Titre1Car"/>
    <w:uiPriority w:val="9"/>
    <w:qFormat/>
    <w:rsid w:val="0052480B"/>
    <w:pPr>
      <w:keepNext/>
      <w:keepLines/>
      <w:tabs>
        <w:tab w:val="left" w:pos="426"/>
      </w:tabs>
      <w:spacing w:before="240" w:line="276" w:lineRule="auto"/>
      <w:outlineLvl w:val="0"/>
    </w:pPr>
    <w:rPr>
      <w:rFonts w:asciiTheme="majorHAnsi" w:eastAsiaTheme="majorEastAsia" w:hAnsiTheme="majorHAnsi" w:cstheme="majorBidi"/>
      <w:b/>
      <w:sz w:val="32"/>
      <w:szCs w:val="32"/>
      <w:lang w:eastAsia="en-US"/>
    </w:rPr>
  </w:style>
  <w:style w:type="paragraph" w:styleId="Titre2">
    <w:name w:val="heading 2"/>
    <w:basedOn w:val="Normal"/>
    <w:next w:val="Normal"/>
    <w:link w:val="Titre2Car"/>
    <w:uiPriority w:val="9"/>
    <w:unhideWhenUsed/>
    <w:qFormat/>
    <w:rsid w:val="009E5093"/>
    <w:pPr>
      <w:keepNext/>
      <w:keepLines/>
      <w:spacing w:before="40" w:line="276" w:lineRule="auto"/>
      <w:outlineLvl w:val="1"/>
    </w:pPr>
    <w:rPr>
      <w:rFonts w:asciiTheme="majorHAnsi" w:eastAsiaTheme="majorEastAsia" w:hAnsiTheme="majorHAnsi" w:cstheme="majorBidi"/>
      <w:b/>
      <w:sz w:val="26"/>
      <w:szCs w:val="26"/>
      <w:lang w:eastAsia="en-US"/>
    </w:rPr>
  </w:style>
  <w:style w:type="paragraph" w:styleId="Titre3">
    <w:name w:val="heading 3"/>
    <w:basedOn w:val="Normal"/>
    <w:next w:val="Normal"/>
    <w:link w:val="Titre3Car"/>
    <w:uiPriority w:val="9"/>
    <w:unhideWhenUsed/>
    <w:qFormat/>
    <w:rsid w:val="0015760D"/>
    <w:pPr>
      <w:keepNext/>
      <w:keepLines/>
      <w:spacing w:before="40"/>
      <w:outlineLvl w:val="2"/>
    </w:pPr>
    <w:rPr>
      <w:rFonts w:asciiTheme="majorHAnsi" w:eastAsiaTheme="majorEastAsia" w:hAnsiTheme="majorHAnsi" w:cstheme="majorBidi"/>
      <w:b/>
      <w:color w:val="000000" w:themeColor="text1"/>
    </w:rPr>
  </w:style>
  <w:style w:type="paragraph" w:styleId="Titre4">
    <w:name w:val="heading 4"/>
    <w:basedOn w:val="Normal"/>
    <w:next w:val="Normal"/>
    <w:link w:val="Titre4Car"/>
    <w:uiPriority w:val="9"/>
    <w:unhideWhenUsed/>
    <w:qFormat/>
    <w:rsid w:val="009216EF"/>
    <w:pPr>
      <w:keepNext/>
      <w:keepLines/>
      <w:spacing w:before="40"/>
      <w:outlineLvl w:val="3"/>
    </w:pPr>
    <w:rPr>
      <w:rFonts w:asciiTheme="majorHAnsi" w:eastAsiaTheme="majorEastAsia" w:hAnsiTheme="majorHAnsi" w:cstheme="majorBidi"/>
      <w:b/>
      <w:i/>
      <w:iCs/>
      <w:color w:val="000000" w:themeColor="tex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C30A98"/>
    <w:pPr>
      <w:ind w:left="720"/>
      <w:contextualSpacing/>
    </w:pPr>
  </w:style>
  <w:style w:type="table" w:styleId="Grilledutableau">
    <w:name w:val="Table Grid"/>
    <w:basedOn w:val="TableauNormal"/>
    <w:uiPriority w:val="39"/>
    <w:rsid w:val="008D4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rsid w:val="007F1E79"/>
    <w:rPr>
      <w:color w:val="0000FF"/>
      <w:u w:val="single"/>
    </w:rPr>
  </w:style>
  <w:style w:type="paragraph" w:styleId="TM2">
    <w:name w:val="toc 2"/>
    <w:basedOn w:val="Normal"/>
    <w:next w:val="Normal"/>
    <w:autoRedefine/>
    <w:uiPriority w:val="39"/>
    <w:rsid w:val="00EA2F93"/>
    <w:pPr>
      <w:tabs>
        <w:tab w:val="right" w:leader="underscore" w:pos="9062"/>
      </w:tabs>
      <w:ind w:left="426"/>
    </w:pPr>
    <w:rPr>
      <w:rFonts w:ascii="Arial" w:eastAsia="Times New Roman" w:hAnsi="Arial" w:cs="Arial"/>
      <w:b/>
      <w:bCs w:val="0"/>
      <w:noProof/>
      <w:sz w:val="22"/>
      <w:szCs w:val="22"/>
      <w:lang w:eastAsia="fr-FR"/>
    </w:rPr>
  </w:style>
  <w:style w:type="paragraph" w:styleId="TM3">
    <w:name w:val="toc 3"/>
    <w:basedOn w:val="Normal"/>
    <w:next w:val="Normal"/>
    <w:autoRedefine/>
    <w:uiPriority w:val="39"/>
    <w:unhideWhenUsed/>
    <w:rsid w:val="00A176CD"/>
    <w:pPr>
      <w:ind w:left="426"/>
    </w:pPr>
    <w:rPr>
      <w:rFonts w:ascii="Arial" w:hAnsi="Arial" w:cs="Arial"/>
      <w:color w:val="000000" w:themeColor="text1"/>
    </w:rPr>
  </w:style>
  <w:style w:type="character" w:styleId="Lienhypertextesuivivisit">
    <w:name w:val="FollowedHyperlink"/>
    <w:basedOn w:val="Policepardfaut"/>
    <w:uiPriority w:val="99"/>
    <w:semiHidden/>
    <w:unhideWhenUsed/>
    <w:rsid w:val="005E2FE6"/>
    <w:rPr>
      <w:color w:val="800080" w:themeColor="followedHyperlink"/>
      <w:u w:val="single"/>
    </w:rPr>
  </w:style>
  <w:style w:type="paragraph" w:styleId="TM1">
    <w:name w:val="toc 1"/>
    <w:basedOn w:val="Normal"/>
    <w:next w:val="Normal"/>
    <w:autoRedefine/>
    <w:uiPriority w:val="39"/>
    <w:unhideWhenUsed/>
    <w:rsid w:val="000D39C1"/>
    <w:pPr>
      <w:spacing w:after="100"/>
    </w:pPr>
  </w:style>
  <w:style w:type="paragraph" w:styleId="En-tte">
    <w:name w:val="header"/>
    <w:basedOn w:val="Normal"/>
    <w:link w:val="En-tteCar"/>
    <w:uiPriority w:val="99"/>
    <w:unhideWhenUsed/>
    <w:rsid w:val="008822C0"/>
    <w:pPr>
      <w:tabs>
        <w:tab w:val="center" w:pos="4536"/>
        <w:tab w:val="right" w:pos="9072"/>
      </w:tabs>
    </w:pPr>
  </w:style>
  <w:style w:type="character" w:customStyle="1" w:styleId="En-tteCar">
    <w:name w:val="En-tête Car"/>
    <w:basedOn w:val="Policepardfaut"/>
    <w:link w:val="En-tte"/>
    <w:uiPriority w:val="99"/>
    <w:rsid w:val="008822C0"/>
    <w:rPr>
      <w:rFonts w:ascii="Times New Roman" w:eastAsia="SimSun" w:hAnsi="Times New Roman" w:cs="Angsana New"/>
      <w:sz w:val="24"/>
      <w:szCs w:val="24"/>
      <w:lang w:val="en-GB" w:eastAsia="zh-CN"/>
    </w:rPr>
  </w:style>
  <w:style w:type="paragraph" w:styleId="Pieddepage">
    <w:name w:val="footer"/>
    <w:basedOn w:val="Normal"/>
    <w:link w:val="PieddepageCar"/>
    <w:uiPriority w:val="99"/>
    <w:unhideWhenUsed/>
    <w:rsid w:val="008822C0"/>
    <w:pPr>
      <w:tabs>
        <w:tab w:val="center" w:pos="4536"/>
        <w:tab w:val="right" w:pos="9072"/>
      </w:tabs>
    </w:pPr>
  </w:style>
  <w:style w:type="character" w:customStyle="1" w:styleId="PieddepageCar">
    <w:name w:val="Pied de page Car"/>
    <w:basedOn w:val="Policepardfaut"/>
    <w:link w:val="Pieddepage"/>
    <w:uiPriority w:val="99"/>
    <w:rsid w:val="008822C0"/>
    <w:rPr>
      <w:rFonts w:ascii="Times New Roman" w:eastAsia="SimSun" w:hAnsi="Times New Roman" w:cs="Angsana New"/>
      <w:sz w:val="24"/>
      <w:szCs w:val="24"/>
      <w:lang w:val="en-GB" w:eastAsia="zh-CN"/>
    </w:rPr>
  </w:style>
  <w:style w:type="character" w:customStyle="1" w:styleId="Titre8Car">
    <w:name w:val="Titre 8 Car"/>
    <w:rsid w:val="00251D96"/>
    <w:rPr>
      <w:b/>
      <w:bCs/>
      <w:i/>
      <w:spacing w:val="5"/>
      <w:kern w:val="20"/>
      <w:sz w:val="24"/>
      <w:szCs w:val="24"/>
      <w:lang w:val="fr-ML" w:eastAsia="en-US" w:bidi="he-IL"/>
    </w:rPr>
  </w:style>
  <w:style w:type="character" w:customStyle="1" w:styleId="Titre1Car">
    <w:name w:val="Titre 1 Car"/>
    <w:basedOn w:val="Policepardfaut"/>
    <w:link w:val="Titre1"/>
    <w:uiPriority w:val="9"/>
    <w:rsid w:val="0052480B"/>
    <w:rPr>
      <w:rFonts w:asciiTheme="majorHAnsi" w:eastAsiaTheme="majorEastAsia" w:hAnsiTheme="majorHAnsi" w:cstheme="majorBidi"/>
      <w:b/>
      <w:bCs/>
      <w:color w:val="000000"/>
      <w:sz w:val="32"/>
      <w:szCs w:val="32"/>
    </w:rPr>
  </w:style>
  <w:style w:type="character" w:customStyle="1" w:styleId="Titre2Car">
    <w:name w:val="Titre 2 Car"/>
    <w:basedOn w:val="Policepardfaut"/>
    <w:link w:val="Titre2"/>
    <w:uiPriority w:val="9"/>
    <w:rsid w:val="009E5093"/>
    <w:rPr>
      <w:rFonts w:asciiTheme="majorHAnsi" w:eastAsiaTheme="majorEastAsia" w:hAnsiTheme="majorHAnsi" w:cstheme="majorBidi"/>
      <w:b/>
      <w:bCs/>
      <w:color w:val="000000"/>
      <w:sz w:val="26"/>
      <w:szCs w:val="26"/>
    </w:rPr>
  </w:style>
  <w:style w:type="paragraph" w:customStyle="1" w:styleId="Default">
    <w:name w:val="Default"/>
    <w:rsid w:val="00942D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0">
    <w:name w:val="Style10"/>
    <w:basedOn w:val="Normal"/>
    <w:uiPriority w:val="99"/>
    <w:rsid w:val="006A5DBC"/>
    <w:pPr>
      <w:widowControl w:val="0"/>
      <w:spacing w:line="299" w:lineRule="exact"/>
    </w:pPr>
    <w:rPr>
      <w:rFonts w:ascii="Arial Unicode MS" w:eastAsia="Arial Unicode MS" w:hAnsi="Calibri" w:cs="Arial Unicode MS"/>
      <w:lang w:eastAsia="fr-FR"/>
    </w:rPr>
  </w:style>
  <w:style w:type="character" w:customStyle="1" w:styleId="FontStyle37">
    <w:name w:val="Font Style37"/>
    <w:uiPriority w:val="99"/>
    <w:rsid w:val="006A5DBC"/>
    <w:rPr>
      <w:rFonts w:ascii="Times New Roman" w:hAnsi="Times New Roman" w:cs="Times New Roman"/>
      <w:color w:val="000000"/>
      <w:sz w:val="22"/>
      <w:szCs w:val="22"/>
    </w:rPr>
  </w:style>
  <w:style w:type="paragraph" w:customStyle="1" w:styleId="Style21">
    <w:name w:val="Style21"/>
    <w:basedOn w:val="Normal"/>
    <w:uiPriority w:val="99"/>
    <w:rsid w:val="006A5DBC"/>
    <w:pPr>
      <w:widowControl w:val="0"/>
      <w:spacing w:line="302" w:lineRule="exact"/>
    </w:pPr>
    <w:rPr>
      <w:rFonts w:ascii="Arial Unicode MS" w:eastAsia="Arial Unicode MS" w:hAnsi="Calibri" w:cs="Arial Unicode MS"/>
      <w:lang w:eastAsia="fr-FR"/>
    </w:rPr>
  </w:style>
  <w:style w:type="table" w:customStyle="1" w:styleId="Ombrageclair1">
    <w:name w:val="Ombrage clair1"/>
    <w:basedOn w:val="TableauNormal"/>
    <w:uiPriority w:val="60"/>
    <w:rsid w:val="006A5DB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
    <w:name w:val="Grille du tableau1"/>
    <w:basedOn w:val="TableauNormal"/>
    <w:next w:val="Grilledutableau"/>
    <w:uiPriority w:val="59"/>
    <w:rsid w:val="006A5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C002B"/>
    <w:rPr>
      <w:rFonts w:ascii="Tahoma" w:hAnsi="Tahoma" w:cs="Tahoma"/>
      <w:sz w:val="16"/>
      <w:szCs w:val="16"/>
    </w:rPr>
  </w:style>
  <w:style w:type="character" w:customStyle="1" w:styleId="TextedebullesCar">
    <w:name w:val="Texte de bulles Car"/>
    <w:basedOn w:val="Policepardfaut"/>
    <w:link w:val="Textedebulles"/>
    <w:uiPriority w:val="99"/>
    <w:semiHidden/>
    <w:rsid w:val="006C002B"/>
    <w:rPr>
      <w:rFonts w:ascii="Tahoma" w:eastAsia="SimSun" w:hAnsi="Tahoma" w:cs="Tahoma"/>
      <w:sz w:val="16"/>
      <w:szCs w:val="16"/>
      <w:lang w:eastAsia="zh-CN"/>
    </w:rPr>
  </w:style>
  <w:style w:type="paragraph" w:styleId="Notedebasdepage">
    <w:name w:val="footnote text"/>
    <w:basedOn w:val="Normal"/>
    <w:link w:val="NotedebasdepageCar"/>
    <w:uiPriority w:val="99"/>
    <w:unhideWhenUsed/>
    <w:rsid w:val="00F15077"/>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F15077"/>
    <w:rPr>
      <w:sz w:val="20"/>
      <w:szCs w:val="20"/>
    </w:rPr>
  </w:style>
  <w:style w:type="character" w:styleId="Appelnotedebasdep">
    <w:name w:val="footnote reference"/>
    <w:basedOn w:val="Policepardfaut"/>
    <w:uiPriority w:val="99"/>
    <w:semiHidden/>
    <w:unhideWhenUsed/>
    <w:rsid w:val="00F15077"/>
    <w:rPr>
      <w:vertAlign w:val="superscript"/>
    </w:rPr>
  </w:style>
  <w:style w:type="numbering" w:customStyle="1" w:styleId="Aucuneliste1">
    <w:name w:val="Aucune liste1"/>
    <w:next w:val="Aucuneliste"/>
    <w:uiPriority w:val="99"/>
    <w:semiHidden/>
    <w:unhideWhenUsed/>
    <w:rsid w:val="00734095"/>
  </w:style>
  <w:style w:type="character" w:customStyle="1" w:styleId="ParagraphedelisteCar">
    <w:name w:val="Paragraphe de liste Car"/>
    <w:link w:val="Paragraphedeliste"/>
    <w:uiPriority w:val="34"/>
    <w:locked/>
    <w:rsid w:val="00B9166B"/>
    <w:rPr>
      <w:rFonts w:ascii="Times New Roman" w:eastAsia="SimSun" w:hAnsi="Times New Roman" w:cs="Angsana New"/>
      <w:sz w:val="24"/>
      <w:szCs w:val="24"/>
      <w:lang w:eastAsia="zh-CN"/>
    </w:rPr>
  </w:style>
  <w:style w:type="table" w:styleId="Grillemoyenne2-Accent3">
    <w:name w:val="Medium Grid 2 Accent 3"/>
    <w:basedOn w:val="TableauNormal"/>
    <w:uiPriority w:val="68"/>
    <w:rsid w:val="00B9166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Grilledutableau2">
    <w:name w:val="Grille du tableau2"/>
    <w:basedOn w:val="TableauNormal"/>
    <w:next w:val="Grilledutableau"/>
    <w:uiPriority w:val="59"/>
    <w:rsid w:val="009E046B"/>
    <w:pPr>
      <w:spacing w:after="0" w:line="240" w:lineRule="auto"/>
    </w:pPr>
    <w:rPr>
      <w:rFonts w:ascii="Calibri" w:eastAsia="MS PGothic"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laire-Accent5">
    <w:name w:val="Light List Accent 5"/>
    <w:basedOn w:val="TableauNormal"/>
    <w:uiPriority w:val="61"/>
    <w:rsid w:val="00331B7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En-ttedetabledesmatires">
    <w:name w:val="TOC Heading"/>
    <w:basedOn w:val="Titre1"/>
    <w:next w:val="Normal"/>
    <w:uiPriority w:val="39"/>
    <w:unhideWhenUsed/>
    <w:qFormat/>
    <w:rsid w:val="0052480B"/>
    <w:pPr>
      <w:tabs>
        <w:tab w:val="clear" w:pos="426"/>
      </w:tabs>
      <w:autoSpaceDE/>
      <w:autoSpaceDN/>
      <w:adjustRightInd/>
      <w:spacing w:after="0" w:line="259" w:lineRule="auto"/>
      <w:jc w:val="left"/>
      <w:outlineLvl w:val="9"/>
    </w:pPr>
    <w:rPr>
      <w:b w:val="0"/>
      <w:bCs w:val="0"/>
      <w:color w:val="365F91" w:themeColor="accent1" w:themeShade="BF"/>
      <w:lang w:eastAsia="fr-FR"/>
    </w:rPr>
  </w:style>
  <w:style w:type="character" w:customStyle="1" w:styleId="Titre3Car">
    <w:name w:val="Titre 3 Car"/>
    <w:basedOn w:val="Policepardfaut"/>
    <w:link w:val="Titre3"/>
    <w:uiPriority w:val="9"/>
    <w:rsid w:val="0015760D"/>
    <w:rPr>
      <w:rFonts w:asciiTheme="majorHAnsi" w:eastAsiaTheme="majorEastAsia" w:hAnsiTheme="majorHAnsi" w:cstheme="majorBidi"/>
      <w:b/>
      <w:bCs/>
      <w:color w:val="000000" w:themeColor="text1"/>
      <w:sz w:val="24"/>
      <w:szCs w:val="24"/>
      <w:lang w:eastAsia="zh-CN"/>
    </w:rPr>
  </w:style>
  <w:style w:type="character" w:customStyle="1" w:styleId="Titre4Car">
    <w:name w:val="Titre 4 Car"/>
    <w:basedOn w:val="Policepardfaut"/>
    <w:link w:val="Titre4"/>
    <w:uiPriority w:val="9"/>
    <w:rsid w:val="009216EF"/>
    <w:rPr>
      <w:rFonts w:asciiTheme="majorHAnsi" w:eastAsiaTheme="majorEastAsia" w:hAnsiTheme="majorHAnsi" w:cstheme="majorBidi"/>
      <w:b/>
      <w:bCs/>
      <w:i/>
      <w:iCs/>
      <w:color w:val="000000" w:themeColor="text1"/>
      <w:sz w:val="24"/>
      <w:szCs w:val="24"/>
    </w:rPr>
  </w:style>
  <w:style w:type="table" w:customStyle="1" w:styleId="TableauListe1Clair1">
    <w:name w:val="Tableau Liste 1 Clair1"/>
    <w:basedOn w:val="TableauNormal"/>
    <w:uiPriority w:val="46"/>
    <w:rsid w:val="001267F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gende">
    <w:name w:val="caption"/>
    <w:basedOn w:val="Normal"/>
    <w:next w:val="Normal"/>
    <w:uiPriority w:val="35"/>
    <w:unhideWhenUsed/>
    <w:qFormat/>
    <w:rsid w:val="006E21D4"/>
    <w:pPr>
      <w:spacing w:after="200" w:line="240" w:lineRule="auto"/>
    </w:pPr>
    <w:rPr>
      <w:i/>
      <w:iCs/>
      <w:color w:val="1F497D" w:themeColor="text2"/>
      <w:sz w:val="18"/>
      <w:szCs w:val="18"/>
    </w:rPr>
  </w:style>
  <w:style w:type="paragraph" w:styleId="TM4">
    <w:name w:val="toc 4"/>
    <w:basedOn w:val="Normal"/>
    <w:next w:val="Normal"/>
    <w:autoRedefine/>
    <w:uiPriority w:val="39"/>
    <w:unhideWhenUsed/>
    <w:rsid w:val="00D04E78"/>
    <w:pPr>
      <w:autoSpaceDE/>
      <w:autoSpaceDN/>
      <w:adjustRightInd/>
      <w:spacing w:after="100" w:line="259" w:lineRule="auto"/>
      <w:ind w:left="660"/>
      <w:jc w:val="left"/>
    </w:pPr>
    <w:rPr>
      <w:rFonts w:asciiTheme="minorHAnsi" w:eastAsiaTheme="minorEastAsia" w:hAnsiTheme="minorHAnsi" w:cstheme="minorBidi"/>
      <w:bCs w:val="0"/>
      <w:color w:val="auto"/>
      <w:sz w:val="22"/>
      <w:szCs w:val="22"/>
      <w:lang w:eastAsia="fr-FR"/>
    </w:rPr>
  </w:style>
  <w:style w:type="paragraph" w:styleId="TM5">
    <w:name w:val="toc 5"/>
    <w:basedOn w:val="Normal"/>
    <w:next w:val="Normal"/>
    <w:autoRedefine/>
    <w:uiPriority w:val="39"/>
    <w:unhideWhenUsed/>
    <w:rsid w:val="00D04E78"/>
    <w:pPr>
      <w:autoSpaceDE/>
      <w:autoSpaceDN/>
      <w:adjustRightInd/>
      <w:spacing w:after="100" w:line="259" w:lineRule="auto"/>
      <w:ind w:left="880"/>
      <w:jc w:val="left"/>
    </w:pPr>
    <w:rPr>
      <w:rFonts w:asciiTheme="minorHAnsi" w:eastAsiaTheme="minorEastAsia" w:hAnsiTheme="minorHAnsi" w:cstheme="minorBidi"/>
      <w:bCs w:val="0"/>
      <w:color w:val="auto"/>
      <w:sz w:val="22"/>
      <w:szCs w:val="22"/>
      <w:lang w:eastAsia="fr-FR"/>
    </w:rPr>
  </w:style>
  <w:style w:type="paragraph" w:styleId="TM6">
    <w:name w:val="toc 6"/>
    <w:basedOn w:val="Normal"/>
    <w:next w:val="Normal"/>
    <w:autoRedefine/>
    <w:uiPriority w:val="39"/>
    <w:unhideWhenUsed/>
    <w:rsid w:val="00D04E78"/>
    <w:pPr>
      <w:autoSpaceDE/>
      <w:autoSpaceDN/>
      <w:adjustRightInd/>
      <w:spacing w:after="100" w:line="259" w:lineRule="auto"/>
      <w:ind w:left="1100"/>
      <w:jc w:val="left"/>
    </w:pPr>
    <w:rPr>
      <w:rFonts w:asciiTheme="minorHAnsi" w:eastAsiaTheme="minorEastAsia" w:hAnsiTheme="minorHAnsi" w:cstheme="minorBidi"/>
      <w:bCs w:val="0"/>
      <w:color w:val="auto"/>
      <w:sz w:val="22"/>
      <w:szCs w:val="22"/>
      <w:lang w:eastAsia="fr-FR"/>
    </w:rPr>
  </w:style>
  <w:style w:type="paragraph" w:styleId="TM7">
    <w:name w:val="toc 7"/>
    <w:basedOn w:val="Normal"/>
    <w:next w:val="Normal"/>
    <w:autoRedefine/>
    <w:uiPriority w:val="39"/>
    <w:unhideWhenUsed/>
    <w:rsid w:val="00D04E78"/>
    <w:pPr>
      <w:autoSpaceDE/>
      <w:autoSpaceDN/>
      <w:adjustRightInd/>
      <w:spacing w:after="100" w:line="259" w:lineRule="auto"/>
      <w:ind w:left="1320"/>
      <w:jc w:val="left"/>
    </w:pPr>
    <w:rPr>
      <w:rFonts w:asciiTheme="minorHAnsi" w:eastAsiaTheme="minorEastAsia" w:hAnsiTheme="minorHAnsi" w:cstheme="minorBidi"/>
      <w:bCs w:val="0"/>
      <w:color w:val="auto"/>
      <w:sz w:val="22"/>
      <w:szCs w:val="22"/>
      <w:lang w:eastAsia="fr-FR"/>
    </w:rPr>
  </w:style>
  <w:style w:type="paragraph" w:styleId="TM8">
    <w:name w:val="toc 8"/>
    <w:basedOn w:val="Normal"/>
    <w:next w:val="Normal"/>
    <w:autoRedefine/>
    <w:uiPriority w:val="39"/>
    <w:unhideWhenUsed/>
    <w:rsid w:val="00D04E78"/>
    <w:pPr>
      <w:autoSpaceDE/>
      <w:autoSpaceDN/>
      <w:adjustRightInd/>
      <w:spacing w:after="100" w:line="259" w:lineRule="auto"/>
      <w:ind w:left="1540"/>
      <w:jc w:val="left"/>
    </w:pPr>
    <w:rPr>
      <w:rFonts w:asciiTheme="minorHAnsi" w:eastAsiaTheme="minorEastAsia" w:hAnsiTheme="minorHAnsi" w:cstheme="minorBidi"/>
      <w:bCs w:val="0"/>
      <w:color w:val="auto"/>
      <w:sz w:val="22"/>
      <w:szCs w:val="22"/>
      <w:lang w:eastAsia="fr-FR"/>
    </w:rPr>
  </w:style>
  <w:style w:type="paragraph" w:styleId="TM9">
    <w:name w:val="toc 9"/>
    <w:basedOn w:val="Normal"/>
    <w:next w:val="Normal"/>
    <w:autoRedefine/>
    <w:uiPriority w:val="39"/>
    <w:unhideWhenUsed/>
    <w:rsid w:val="00D04E78"/>
    <w:pPr>
      <w:autoSpaceDE/>
      <w:autoSpaceDN/>
      <w:adjustRightInd/>
      <w:spacing w:after="100" w:line="259" w:lineRule="auto"/>
      <w:ind w:left="1760"/>
      <w:jc w:val="left"/>
    </w:pPr>
    <w:rPr>
      <w:rFonts w:asciiTheme="minorHAnsi" w:eastAsiaTheme="minorEastAsia" w:hAnsiTheme="minorHAnsi" w:cstheme="minorBidi"/>
      <w:bCs w:val="0"/>
      <w:color w:val="auto"/>
      <w:sz w:val="22"/>
      <w:szCs w:val="22"/>
      <w:lang w:eastAsia="fr-FR"/>
    </w:rPr>
  </w:style>
  <w:style w:type="paragraph" w:styleId="Tabledesillustrations">
    <w:name w:val="table of figures"/>
    <w:basedOn w:val="Normal"/>
    <w:next w:val="Normal"/>
    <w:uiPriority w:val="99"/>
    <w:unhideWhenUsed/>
    <w:rsid w:val="00194B4D"/>
    <w:pPr>
      <w:spacing w:after="0"/>
    </w:pPr>
  </w:style>
  <w:style w:type="character" w:styleId="Marquedecommentaire">
    <w:name w:val="annotation reference"/>
    <w:basedOn w:val="Policepardfaut"/>
    <w:uiPriority w:val="99"/>
    <w:semiHidden/>
    <w:unhideWhenUsed/>
    <w:rsid w:val="00B81029"/>
    <w:rPr>
      <w:sz w:val="16"/>
      <w:szCs w:val="16"/>
    </w:rPr>
  </w:style>
  <w:style w:type="paragraph" w:styleId="Commentaire">
    <w:name w:val="annotation text"/>
    <w:basedOn w:val="Normal"/>
    <w:link w:val="CommentaireCar"/>
    <w:uiPriority w:val="99"/>
    <w:semiHidden/>
    <w:unhideWhenUsed/>
    <w:rsid w:val="00B81029"/>
    <w:pPr>
      <w:spacing w:line="240" w:lineRule="auto"/>
    </w:pPr>
    <w:rPr>
      <w:sz w:val="20"/>
      <w:szCs w:val="20"/>
    </w:rPr>
  </w:style>
  <w:style w:type="character" w:customStyle="1" w:styleId="CommentaireCar">
    <w:name w:val="Commentaire Car"/>
    <w:basedOn w:val="Policepardfaut"/>
    <w:link w:val="Commentaire"/>
    <w:uiPriority w:val="99"/>
    <w:semiHidden/>
    <w:rsid w:val="00B81029"/>
    <w:rPr>
      <w:rFonts w:ascii="Times New Roman" w:eastAsia="Calibri" w:hAnsi="Times New Roman" w:cs="Times New Roman"/>
      <w:bCs/>
      <w:color w:val="000000"/>
      <w:sz w:val="20"/>
      <w:szCs w:val="20"/>
      <w:lang w:eastAsia="zh-CN"/>
    </w:rPr>
  </w:style>
  <w:style w:type="paragraph" w:styleId="Objetducommentaire">
    <w:name w:val="annotation subject"/>
    <w:basedOn w:val="Commentaire"/>
    <w:next w:val="Commentaire"/>
    <w:link w:val="ObjetducommentaireCar"/>
    <w:uiPriority w:val="99"/>
    <w:semiHidden/>
    <w:unhideWhenUsed/>
    <w:rsid w:val="00B81029"/>
    <w:rPr>
      <w:b/>
    </w:rPr>
  </w:style>
  <w:style w:type="character" w:customStyle="1" w:styleId="ObjetducommentaireCar">
    <w:name w:val="Objet du commentaire Car"/>
    <w:basedOn w:val="CommentaireCar"/>
    <w:link w:val="Objetducommentaire"/>
    <w:uiPriority w:val="99"/>
    <w:semiHidden/>
    <w:rsid w:val="00B81029"/>
    <w:rPr>
      <w:rFonts w:ascii="Times New Roman" w:eastAsia="Calibri" w:hAnsi="Times New Roman" w:cs="Times New Roman"/>
      <w:b/>
      <w:bCs/>
      <w:color w:val="00000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C9"/>
    <w:pPr>
      <w:autoSpaceDE w:val="0"/>
      <w:autoSpaceDN w:val="0"/>
      <w:adjustRightInd w:val="0"/>
      <w:spacing w:after="240" w:line="360" w:lineRule="auto"/>
      <w:jc w:val="both"/>
    </w:pPr>
    <w:rPr>
      <w:rFonts w:ascii="Times New Roman" w:eastAsia="Calibri" w:hAnsi="Times New Roman" w:cs="Times New Roman"/>
      <w:bCs/>
      <w:color w:val="000000"/>
      <w:sz w:val="24"/>
      <w:szCs w:val="24"/>
      <w:lang w:eastAsia="zh-CN"/>
    </w:rPr>
  </w:style>
  <w:style w:type="paragraph" w:styleId="Titre1">
    <w:name w:val="heading 1"/>
    <w:basedOn w:val="Normal"/>
    <w:next w:val="Normal"/>
    <w:link w:val="Titre1Car"/>
    <w:uiPriority w:val="9"/>
    <w:qFormat/>
    <w:rsid w:val="0052480B"/>
    <w:pPr>
      <w:keepNext/>
      <w:keepLines/>
      <w:tabs>
        <w:tab w:val="left" w:pos="426"/>
      </w:tabs>
      <w:spacing w:before="240" w:line="276" w:lineRule="auto"/>
      <w:outlineLvl w:val="0"/>
    </w:pPr>
    <w:rPr>
      <w:rFonts w:asciiTheme="majorHAnsi" w:eastAsiaTheme="majorEastAsia" w:hAnsiTheme="majorHAnsi" w:cstheme="majorBidi"/>
      <w:b/>
      <w:sz w:val="32"/>
      <w:szCs w:val="32"/>
      <w:lang w:eastAsia="en-US"/>
    </w:rPr>
  </w:style>
  <w:style w:type="paragraph" w:styleId="Titre2">
    <w:name w:val="heading 2"/>
    <w:basedOn w:val="Normal"/>
    <w:next w:val="Normal"/>
    <w:link w:val="Titre2Car"/>
    <w:uiPriority w:val="9"/>
    <w:unhideWhenUsed/>
    <w:qFormat/>
    <w:rsid w:val="009E5093"/>
    <w:pPr>
      <w:keepNext/>
      <w:keepLines/>
      <w:spacing w:before="40" w:line="276" w:lineRule="auto"/>
      <w:outlineLvl w:val="1"/>
    </w:pPr>
    <w:rPr>
      <w:rFonts w:asciiTheme="majorHAnsi" w:eastAsiaTheme="majorEastAsia" w:hAnsiTheme="majorHAnsi" w:cstheme="majorBidi"/>
      <w:b/>
      <w:sz w:val="26"/>
      <w:szCs w:val="26"/>
      <w:lang w:eastAsia="en-US"/>
    </w:rPr>
  </w:style>
  <w:style w:type="paragraph" w:styleId="Titre3">
    <w:name w:val="heading 3"/>
    <w:basedOn w:val="Normal"/>
    <w:next w:val="Normal"/>
    <w:link w:val="Titre3Car"/>
    <w:uiPriority w:val="9"/>
    <w:unhideWhenUsed/>
    <w:qFormat/>
    <w:rsid w:val="0015760D"/>
    <w:pPr>
      <w:keepNext/>
      <w:keepLines/>
      <w:spacing w:before="40"/>
      <w:outlineLvl w:val="2"/>
    </w:pPr>
    <w:rPr>
      <w:rFonts w:asciiTheme="majorHAnsi" w:eastAsiaTheme="majorEastAsia" w:hAnsiTheme="majorHAnsi" w:cstheme="majorBidi"/>
      <w:b/>
      <w:color w:val="000000" w:themeColor="text1"/>
    </w:rPr>
  </w:style>
  <w:style w:type="paragraph" w:styleId="Titre4">
    <w:name w:val="heading 4"/>
    <w:basedOn w:val="Normal"/>
    <w:next w:val="Normal"/>
    <w:link w:val="Titre4Car"/>
    <w:uiPriority w:val="9"/>
    <w:unhideWhenUsed/>
    <w:qFormat/>
    <w:rsid w:val="009216EF"/>
    <w:pPr>
      <w:keepNext/>
      <w:keepLines/>
      <w:spacing w:before="40"/>
      <w:outlineLvl w:val="3"/>
    </w:pPr>
    <w:rPr>
      <w:rFonts w:asciiTheme="majorHAnsi" w:eastAsiaTheme="majorEastAsia" w:hAnsiTheme="majorHAnsi" w:cstheme="majorBidi"/>
      <w:b/>
      <w:i/>
      <w:iCs/>
      <w:color w:val="000000" w:themeColor="tex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C30A98"/>
    <w:pPr>
      <w:ind w:left="720"/>
      <w:contextualSpacing/>
    </w:pPr>
  </w:style>
  <w:style w:type="table" w:styleId="Grilledutableau">
    <w:name w:val="Table Grid"/>
    <w:basedOn w:val="TableauNormal"/>
    <w:uiPriority w:val="39"/>
    <w:rsid w:val="008D4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7F1E79"/>
    <w:rPr>
      <w:color w:val="0000FF"/>
      <w:u w:val="single"/>
    </w:rPr>
  </w:style>
  <w:style w:type="paragraph" w:styleId="TM2">
    <w:name w:val="toc 2"/>
    <w:basedOn w:val="Normal"/>
    <w:next w:val="Normal"/>
    <w:autoRedefine/>
    <w:uiPriority w:val="39"/>
    <w:rsid w:val="00EA2F93"/>
    <w:pPr>
      <w:tabs>
        <w:tab w:val="right" w:leader="underscore" w:pos="9062"/>
      </w:tabs>
      <w:ind w:left="426"/>
    </w:pPr>
    <w:rPr>
      <w:rFonts w:ascii="Arial" w:eastAsia="Times New Roman" w:hAnsi="Arial" w:cs="Arial"/>
      <w:b/>
      <w:bCs w:val="0"/>
      <w:noProof/>
      <w:sz w:val="22"/>
      <w:szCs w:val="22"/>
      <w:lang w:eastAsia="fr-FR"/>
    </w:rPr>
  </w:style>
  <w:style w:type="paragraph" w:styleId="TM3">
    <w:name w:val="toc 3"/>
    <w:basedOn w:val="Normal"/>
    <w:next w:val="Normal"/>
    <w:autoRedefine/>
    <w:uiPriority w:val="39"/>
    <w:unhideWhenUsed/>
    <w:rsid w:val="00A176CD"/>
    <w:pPr>
      <w:ind w:left="426"/>
    </w:pPr>
    <w:rPr>
      <w:rFonts w:ascii="Arial" w:hAnsi="Arial" w:cs="Arial"/>
      <w:color w:val="000000" w:themeColor="text1"/>
    </w:rPr>
  </w:style>
  <w:style w:type="character" w:styleId="Lienhypertextesuivivisit">
    <w:name w:val="FollowedHyperlink"/>
    <w:basedOn w:val="Policepardfaut"/>
    <w:uiPriority w:val="99"/>
    <w:semiHidden/>
    <w:unhideWhenUsed/>
    <w:rsid w:val="005E2FE6"/>
    <w:rPr>
      <w:color w:val="800080" w:themeColor="followedHyperlink"/>
      <w:u w:val="single"/>
    </w:rPr>
  </w:style>
  <w:style w:type="paragraph" w:styleId="TM1">
    <w:name w:val="toc 1"/>
    <w:basedOn w:val="Normal"/>
    <w:next w:val="Normal"/>
    <w:autoRedefine/>
    <w:uiPriority w:val="39"/>
    <w:unhideWhenUsed/>
    <w:rsid w:val="000D39C1"/>
    <w:pPr>
      <w:spacing w:after="100"/>
    </w:pPr>
  </w:style>
  <w:style w:type="paragraph" w:styleId="En-tte">
    <w:name w:val="header"/>
    <w:basedOn w:val="Normal"/>
    <w:link w:val="En-tteCar"/>
    <w:uiPriority w:val="99"/>
    <w:unhideWhenUsed/>
    <w:rsid w:val="008822C0"/>
    <w:pPr>
      <w:tabs>
        <w:tab w:val="center" w:pos="4536"/>
        <w:tab w:val="right" w:pos="9072"/>
      </w:tabs>
    </w:pPr>
  </w:style>
  <w:style w:type="character" w:customStyle="1" w:styleId="En-tteCar">
    <w:name w:val="En-tête Car"/>
    <w:basedOn w:val="Policepardfaut"/>
    <w:link w:val="En-tte"/>
    <w:uiPriority w:val="99"/>
    <w:rsid w:val="008822C0"/>
    <w:rPr>
      <w:rFonts w:ascii="Times New Roman" w:eastAsia="SimSun" w:hAnsi="Times New Roman" w:cs="Angsana New"/>
      <w:sz w:val="24"/>
      <w:szCs w:val="24"/>
      <w:lang w:val="en-GB" w:eastAsia="zh-CN"/>
    </w:rPr>
  </w:style>
  <w:style w:type="paragraph" w:styleId="Pieddepage">
    <w:name w:val="footer"/>
    <w:basedOn w:val="Normal"/>
    <w:link w:val="PieddepageCar"/>
    <w:uiPriority w:val="99"/>
    <w:unhideWhenUsed/>
    <w:rsid w:val="008822C0"/>
    <w:pPr>
      <w:tabs>
        <w:tab w:val="center" w:pos="4536"/>
        <w:tab w:val="right" w:pos="9072"/>
      </w:tabs>
    </w:pPr>
  </w:style>
  <w:style w:type="character" w:customStyle="1" w:styleId="PieddepageCar">
    <w:name w:val="Pied de page Car"/>
    <w:basedOn w:val="Policepardfaut"/>
    <w:link w:val="Pieddepage"/>
    <w:uiPriority w:val="99"/>
    <w:rsid w:val="008822C0"/>
    <w:rPr>
      <w:rFonts w:ascii="Times New Roman" w:eastAsia="SimSun" w:hAnsi="Times New Roman" w:cs="Angsana New"/>
      <w:sz w:val="24"/>
      <w:szCs w:val="24"/>
      <w:lang w:val="en-GB" w:eastAsia="zh-CN"/>
    </w:rPr>
  </w:style>
  <w:style w:type="character" w:customStyle="1" w:styleId="Titre8Car">
    <w:name w:val="Titre 8 Car"/>
    <w:rsid w:val="00251D96"/>
    <w:rPr>
      <w:b/>
      <w:bCs/>
      <w:i/>
      <w:spacing w:val="5"/>
      <w:kern w:val="20"/>
      <w:sz w:val="24"/>
      <w:szCs w:val="24"/>
      <w:lang w:val="fr-ML" w:eastAsia="en-US" w:bidi="he-IL"/>
    </w:rPr>
  </w:style>
  <w:style w:type="character" w:customStyle="1" w:styleId="Titre1Car">
    <w:name w:val="Titre 1 Car"/>
    <w:basedOn w:val="Policepardfaut"/>
    <w:link w:val="Titre1"/>
    <w:uiPriority w:val="9"/>
    <w:rsid w:val="0052480B"/>
    <w:rPr>
      <w:rFonts w:asciiTheme="majorHAnsi" w:eastAsiaTheme="majorEastAsia" w:hAnsiTheme="majorHAnsi" w:cstheme="majorBidi"/>
      <w:b/>
      <w:bCs/>
      <w:color w:val="000000"/>
      <w:sz w:val="32"/>
      <w:szCs w:val="32"/>
    </w:rPr>
  </w:style>
  <w:style w:type="character" w:customStyle="1" w:styleId="Titre2Car">
    <w:name w:val="Titre 2 Car"/>
    <w:basedOn w:val="Policepardfaut"/>
    <w:link w:val="Titre2"/>
    <w:uiPriority w:val="9"/>
    <w:rsid w:val="009E5093"/>
    <w:rPr>
      <w:rFonts w:asciiTheme="majorHAnsi" w:eastAsiaTheme="majorEastAsia" w:hAnsiTheme="majorHAnsi" w:cstheme="majorBidi"/>
      <w:b/>
      <w:bCs/>
      <w:color w:val="000000"/>
      <w:sz w:val="26"/>
      <w:szCs w:val="26"/>
    </w:rPr>
  </w:style>
  <w:style w:type="paragraph" w:customStyle="1" w:styleId="Default">
    <w:name w:val="Default"/>
    <w:rsid w:val="00942D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0">
    <w:name w:val="Style10"/>
    <w:basedOn w:val="Normal"/>
    <w:uiPriority w:val="99"/>
    <w:rsid w:val="006A5DBC"/>
    <w:pPr>
      <w:widowControl w:val="0"/>
      <w:spacing w:line="299" w:lineRule="exact"/>
    </w:pPr>
    <w:rPr>
      <w:rFonts w:ascii="Arial Unicode MS" w:eastAsia="Arial Unicode MS" w:hAnsi="Calibri" w:cs="Arial Unicode MS"/>
      <w:lang w:eastAsia="fr-FR"/>
    </w:rPr>
  </w:style>
  <w:style w:type="character" w:customStyle="1" w:styleId="FontStyle37">
    <w:name w:val="Font Style37"/>
    <w:uiPriority w:val="99"/>
    <w:rsid w:val="006A5DBC"/>
    <w:rPr>
      <w:rFonts w:ascii="Times New Roman" w:hAnsi="Times New Roman" w:cs="Times New Roman"/>
      <w:color w:val="000000"/>
      <w:sz w:val="22"/>
      <w:szCs w:val="22"/>
    </w:rPr>
  </w:style>
  <w:style w:type="paragraph" w:customStyle="1" w:styleId="Style21">
    <w:name w:val="Style21"/>
    <w:basedOn w:val="Normal"/>
    <w:uiPriority w:val="99"/>
    <w:rsid w:val="006A5DBC"/>
    <w:pPr>
      <w:widowControl w:val="0"/>
      <w:spacing w:line="302" w:lineRule="exact"/>
    </w:pPr>
    <w:rPr>
      <w:rFonts w:ascii="Arial Unicode MS" w:eastAsia="Arial Unicode MS" w:hAnsi="Calibri" w:cs="Arial Unicode MS"/>
      <w:lang w:eastAsia="fr-FR"/>
    </w:rPr>
  </w:style>
  <w:style w:type="table" w:customStyle="1" w:styleId="Ombrageclair1">
    <w:name w:val="Ombrage clair1"/>
    <w:basedOn w:val="TableauNormal"/>
    <w:uiPriority w:val="60"/>
    <w:rsid w:val="006A5DB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
    <w:name w:val="Grille du tableau1"/>
    <w:basedOn w:val="TableauNormal"/>
    <w:next w:val="Grilledutableau"/>
    <w:uiPriority w:val="59"/>
    <w:rsid w:val="006A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C002B"/>
    <w:rPr>
      <w:rFonts w:ascii="Tahoma" w:hAnsi="Tahoma" w:cs="Tahoma"/>
      <w:sz w:val="16"/>
      <w:szCs w:val="16"/>
    </w:rPr>
  </w:style>
  <w:style w:type="character" w:customStyle="1" w:styleId="TextedebullesCar">
    <w:name w:val="Texte de bulles Car"/>
    <w:basedOn w:val="Policepardfaut"/>
    <w:link w:val="Textedebulles"/>
    <w:uiPriority w:val="99"/>
    <w:semiHidden/>
    <w:rsid w:val="006C002B"/>
    <w:rPr>
      <w:rFonts w:ascii="Tahoma" w:eastAsia="SimSun" w:hAnsi="Tahoma" w:cs="Tahoma"/>
      <w:sz w:val="16"/>
      <w:szCs w:val="16"/>
      <w:lang w:eastAsia="zh-CN"/>
    </w:rPr>
  </w:style>
  <w:style w:type="paragraph" w:styleId="Notedebasdepage">
    <w:name w:val="footnote text"/>
    <w:basedOn w:val="Normal"/>
    <w:link w:val="NotedebasdepageCar"/>
    <w:uiPriority w:val="99"/>
    <w:unhideWhenUsed/>
    <w:rsid w:val="00F15077"/>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F15077"/>
    <w:rPr>
      <w:sz w:val="20"/>
      <w:szCs w:val="20"/>
    </w:rPr>
  </w:style>
  <w:style w:type="character" w:styleId="Appelnotedebasdep">
    <w:name w:val="footnote reference"/>
    <w:basedOn w:val="Policepardfaut"/>
    <w:uiPriority w:val="99"/>
    <w:semiHidden/>
    <w:unhideWhenUsed/>
    <w:rsid w:val="00F15077"/>
    <w:rPr>
      <w:vertAlign w:val="superscript"/>
    </w:rPr>
  </w:style>
  <w:style w:type="numbering" w:customStyle="1" w:styleId="Aucuneliste1">
    <w:name w:val="Aucune liste1"/>
    <w:next w:val="Aucuneliste"/>
    <w:uiPriority w:val="99"/>
    <w:semiHidden/>
    <w:unhideWhenUsed/>
    <w:rsid w:val="00734095"/>
  </w:style>
  <w:style w:type="character" w:customStyle="1" w:styleId="ParagraphedelisteCar">
    <w:name w:val="Paragraphe de liste Car"/>
    <w:link w:val="Paragraphedeliste"/>
    <w:uiPriority w:val="34"/>
    <w:locked/>
    <w:rsid w:val="00B9166B"/>
    <w:rPr>
      <w:rFonts w:ascii="Times New Roman" w:eastAsia="SimSun" w:hAnsi="Times New Roman" w:cs="Angsana New"/>
      <w:sz w:val="24"/>
      <w:szCs w:val="24"/>
      <w:lang w:eastAsia="zh-CN"/>
    </w:rPr>
  </w:style>
  <w:style w:type="table" w:styleId="Grillemoyenne2-Accent3">
    <w:name w:val="Medium Grid 2 Accent 3"/>
    <w:basedOn w:val="TableauNormal"/>
    <w:uiPriority w:val="68"/>
    <w:rsid w:val="00B91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Grilledutableau2">
    <w:name w:val="Grille du tableau2"/>
    <w:basedOn w:val="TableauNormal"/>
    <w:next w:val="Grilledutableau"/>
    <w:uiPriority w:val="59"/>
    <w:rsid w:val="009E046B"/>
    <w:pPr>
      <w:spacing w:after="0" w:line="240" w:lineRule="auto"/>
    </w:pPr>
    <w:rPr>
      <w:rFonts w:ascii="Calibri" w:eastAsia="MS PGothic"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5">
    <w:name w:val="Light List Accent 5"/>
    <w:basedOn w:val="TableauNormal"/>
    <w:uiPriority w:val="61"/>
    <w:rsid w:val="00331B7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En-ttedetabledesmatires">
    <w:name w:val="TOC Heading"/>
    <w:basedOn w:val="Titre1"/>
    <w:next w:val="Normal"/>
    <w:uiPriority w:val="39"/>
    <w:unhideWhenUsed/>
    <w:qFormat/>
    <w:rsid w:val="0052480B"/>
    <w:pPr>
      <w:tabs>
        <w:tab w:val="clear" w:pos="426"/>
      </w:tabs>
      <w:autoSpaceDE/>
      <w:autoSpaceDN/>
      <w:adjustRightInd/>
      <w:spacing w:after="0" w:line="259" w:lineRule="auto"/>
      <w:jc w:val="left"/>
      <w:outlineLvl w:val="9"/>
    </w:pPr>
    <w:rPr>
      <w:b w:val="0"/>
      <w:bCs w:val="0"/>
      <w:color w:val="365F91" w:themeColor="accent1" w:themeShade="BF"/>
      <w:lang w:eastAsia="fr-FR"/>
    </w:rPr>
  </w:style>
  <w:style w:type="character" w:customStyle="1" w:styleId="Titre3Car">
    <w:name w:val="Titre 3 Car"/>
    <w:basedOn w:val="Policepardfaut"/>
    <w:link w:val="Titre3"/>
    <w:uiPriority w:val="9"/>
    <w:rsid w:val="0015760D"/>
    <w:rPr>
      <w:rFonts w:asciiTheme="majorHAnsi" w:eastAsiaTheme="majorEastAsia" w:hAnsiTheme="majorHAnsi" w:cstheme="majorBidi"/>
      <w:b/>
      <w:bCs/>
      <w:color w:val="000000" w:themeColor="text1"/>
      <w:sz w:val="24"/>
      <w:szCs w:val="24"/>
      <w:lang w:eastAsia="zh-CN"/>
    </w:rPr>
  </w:style>
  <w:style w:type="character" w:customStyle="1" w:styleId="Titre4Car">
    <w:name w:val="Titre 4 Car"/>
    <w:basedOn w:val="Policepardfaut"/>
    <w:link w:val="Titre4"/>
    <w:uiPriority w:val="9"/>
    <w:rsid w:val="009216EF"/>
    <w:rPr>
      <w:rFonts w:asciiTheme="majorHAnsi" w:eastAsiaTheme="majorEastAsia" w:hAnsiTheme="majorHAnsi" w:cstheme="majorBidi"/>
      <w:b/>
      <w:bCs/>
      <w:i/>
      <w:iCs/>
      <w:color w:val="000000" w:themeColor="text1"/>
      <w:sz w:val="24"/>
      <w:szCs w:val="24"/>
    </w:rPr>
  </w:style>
  <w:style w:type="table" w:customStyle="1" w:styleId="TableauListe1Clair1">
    <w:name w:val="Tableau Liste 1 Clair1"/>
    <w:basedOn w:val="TableauNormal"/>
    <w:uiPriority w:val="46"/>
    <w:rsid w:val="001267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gende">
    <w:name w:val="caption"/>
    <w:basedOn w:val="Normal"/>
    <w:next w:val="Normal"/>
    <w:uiPriority w:val="35"/>
    <w:unhideWhenUsed/>
    <w:qFormat/>
    <w:rsid w:val="006E21D4"/>
    <w:pPr>
      <w:spacing w:after="200" w:line="240" w:lineRule="auto"/>
    </w:pPr>
    <w:rPr>
      <w:i/>
      <w:iCs/>
      <w:color w:val="1F497D" w:themeColor="text2"/>
      <w:sz w:val="18"/>
      <w:szCs w:val="18"/>
    </w:rPr>
  </w:style>
  <w:style w:type="paragraph" w:styleId="TM4">
    <w:name w:val="toc 4"/>
    <w:basedOn w:val="Normal"/>
    <w:next w:val="Normal"/>
    <w:autoRedefine/>
    <w:uiPriority w:val="39"/>
    <w:unhideWhenUsed/>
    <w:rsid w:val="00D04E78"/>
    <w:pPr>
      <w:autoSpaceDE/>
      <w:autoSpaceDN/>
      <w:adjustRightInd/>
      <w:spacing w:after="100" w:line="259" w:lineRule="auto"/>
      <w:ind w:left="660"/>
      <w:jc w:val="left"/>
    </w:pPr>
    <w:rPr>
      <w:rFonts w:asciiTheme="minorHAnsi" w:eastAsiaTheme="minorEastAsia" w:hAnsiTheme="minorHAnsi" w:cstheme="minorBidi"/>
      <w:bCs w:val="0"/>
      <w:color w:val="auto"/>
      <w:sz w:val="22"/>
      <w:szCs w:val="22"/>
      <w:lang w:eastAsia="fr-FR"/>
    </w:rPr>
  </w:style>
  <w:style w:type="paragraph" w:styleId="TM5">
    <w:name w:val="toc 5"/>
    <w:basedOn w:val="Normal"/>
    <w:next w:val="Normal"/>
    <w:autoRedefine/>
    <w:uiPriority w:val="39"/>
    <w:unhideWhenUsed/>
    <w:rsid w:val="00D04E78"/>
    <w:pPr>
      <w:autoSpaceDE/>
      <w:autoSpaceDN/>
      <w:adjustRightInd/>
      <w:spacing w:after="100" w:line="259" w:lineRule="auto"/>
      <w:ind w:left="880"/>
      <w:jc w:val="left"/>
    </w:pPr>
    <w:rPr>
      <w:rFonts w:asciiTheme="minorHAnsi" w:eastAsiaTheme="minorEastAsia" w:hAnsiTheme="minorHAnsi" w:cstheme="minorBidi"/>
      <w:bCs w:val="0"/>
      <w:color w:val="auto"/>
      <w:sz w:val="22"/>
      <w:szCs w:val="22"/>
      <w:lang w:eastAsia="fr-FR"/>
    </w:rPr>
  </w:style>
  <w:style w:type="paragraph" w:styleId="TM6">
    <w:name w:val="toc 6"/>
    <w:basedOn w:val="Normal"/>
    <w:next w:val="Normal"/>
    <w:autoRedefine/>
    <w:uiPriority w:val="39"/>
    <w:unhideWhenUsed/>
    <w:rsid w:val="00D04E78"/>
    <w:pPr>
      <w:autoSpaceDE/>
      <w:autoSpaceDN/>
      <w:adjustRightInd/>
      <w:spacing w:after="100" w:line="259" w:lineRule="auto"/>
      <w:ind w:left="1100"/>
      <w:jc w:val="left"/>
    </w:pPr>
    <w:rPr>
      <w:rFonts w:asciiTheme="minorHAnsi" w:eastAsiaTheme="minorEastAsia" w:hAnsiTheme="minorHAnsi" w:cstheme="minorBidi"/>
      <w:bCs w:val="0"/>
      <w:color w:val="auto"/>
      <w:sz w:val="22"/>
      <w:szCs w:val="22"/>
      <w:lang w:eastAsia="fr-FR"/>
    </w:rPr>
  </w:style>
  <w:style w:type="paragraph" w:styleId="TM7">
    <w:name w:val="toc 7"/>
    <w:basedOn w:val="Normal"/>
    <w:next w:val="Normal"/>
    <w:autoRedefine/>
    <w:uiPriority w:val="39"/>
    <w:unhideWhenUsed/>
    <w:rsid w:val="00D04E78"/>
    <w:pPr>
      <w:autoSpaceDE/>
      <w:autoSpaceDN/>
      <w:adjustRightInd/>
      <w:spacing w:after="100" w:line="259" w:lineRule="auto"/>
      <w:ind w:left="1320"/>
      <w:jc w:val="left"/>
    </w:pPr>
    <w:rPr>
      <w:rFonts w:asciiTheme="minorHAnsi" w:eastAsiaTheme="minorEastAsia" w:hAnsiTheme="minorHAnsi" w:cstheme="minorBidi"/>
      <w:bCs w:val="0"/>
      <w:color w:val="auto"/>
      <w:sz w:val="22"/>
      <w:szCs w:val="22"/>
      <w:lang w:eastAsia="fr-FR"/>
    </w:rPr>
  </w:style>
  <w:style w:type="paragraph" w:styleId="TM8">
    <w:name w:val="toc 8"/>
    <w:basedOn w:val="Normal"/>
    <w:next w:val="Normal"/>
    <w:autoRedefine/>
    <w:uiPriority w:val="39"/>
    <w:unhideWhenUsed/>
    <w:rsid w:val="00D04E78"/>
    <w:pPr>
      <w:autoSpaceDE/>
      <w:autoSpaceDN/>
      <w:adjustRightInd/>
      <w:spacing w:after="100" w:line="259" w:lineRule="auto"/>
      <w:ind w:left="1540"/>
      <w:jc w:val="left"/>
    </w:pPr>
    <w:rPr>
      <w:rFonts w:asciiTheme="minorHAnsi" w:eastAsiaTheme="minorEastAsia" w:hAnsiTheme="minorHAnsi" w:cstheme="minorBidi"/>
      <w:bCs w:val="0"/>
      <w:color w:val="auto"/>
      <w:sz w:val="22"/>
      <w:szCs w:val="22"/>
      <w:lang w:eastAsia="fr-FR"/>
    </w:rPr>
  </w:style>
  <w:style w:type="paragraph" w:styleId="TM9">
    <w:name w:val="toc 9"/>
    <w:basedOn w:val="Normal"/>
    <w:next w:val="Normal"/>
    <w:autoRedefine/>
    <w:uiPriority w:val="39"/>
    <w:unhideWhenUsed/>
    <w:rsid w:val="00D04E78"/>
    <w:pPr>
      <w:autoSpaceDE/>
      <w:autoSpaceDN/>
      <w:adjustRightInd/>
      <w:spacing w:after="100" w:line="259" w:lineRule="auto"/>
      <w:ind w:left="1760"/>
      <w:jc w:val="left"/>
    </w:pPr>
    <w:rPr>
      <w:rFonts w:asciiTheme="minorHAnsi" w:eastAsiaTheme="minorEastAsia" w:hAnsiTheme="minorHAnsi" w:cstheme="minorBidi"/>
      <w:bCs w:val="0"/>
      <w:color w:val="auto"/>
      <w:sz w:val="22"/>
      <w:szCs w:val="22"/>
      <w:lang w:eastAsia="fr-FR"/>
    </w:rPr>
  </w:style>
  <w:style w:type="paragraph" w:styleId="Tabledesillustrations">
    <w:name w:val="table of figures"/>
    <w:basedOn w:val="Normal"/>
    <w:next w:val="Normal"/>
    <w:uiPriority w:val="99"/>
    <w:unhideWhenUsed/>
    <w:rsid w:val="00194B4D"/>
    <w:pPr>
      <w:spacing w:after="0"/>
    </w:pPr>
  </w:style>
  <w:style w:type="character" w:styleId="Marquedecommentaire">
    <w:name w:val="annotation reference"/>
    <w:basedOn w:val="Policepardfaut"/>
    <w:uiPriority w:val="99"/>
    <w:semiHidden/>
    <w:unhideWhenUsed/>
    <w:rsid w:val="00B81029"/>
    <w:rPr>
      <w:sz w:val="16"/>
      <w:szCs w:val="16"/>
    </w:rPr>
  </w:style>
  <w:style w:type="paragraph" w:styleId="Commentaire">
    <w:name w:val="annotation text"/>
    <w:basedOn w:val="Normal"/>
    <w:link w:val="CommentaireCar"/>
    <w:uiPriority w:val="99"/>
    <w:semiHidden/>
    <w:unhideWhenUsed/>
    <w:rsid w:val="00B81029"/>
    <w:pPr>
      <w:spacing w:line="240" w:lineRule="auto"/>
    </w:pPr>
    <w:rPr>
      <w:sz w:val="20"/>
      <w:szCs w:val="20"/>
    </w:rPr>
  </w:style>
  <w:style w:type="character" w:customStyle="1" w:styleId="CommentaireCar">
    <w:name w:val="Commentaire Car"/>
    <w:basedOn w:val="Policepardfaut"/>
    <w:link w:val="Commentaire"/>
    <w:uiPriority w:val="99"/>
    <w:semiHidden/>
    <w:rsid w:val="00B81029"/>
    <w:rPr>
      <w:rFonts w:ascii="Times New Roman" w:eastAsia="Calibri" w:hAnsi="Times New Roman" w:cs="Times New Roman"/>
      <w:bCs/>
      <w:color w:val="000000"/>
      <w:sz w:val="20"/>
      <w:szCs w:val="20"/>
      <w:lang w:eastAsia="zh-CN"/>
    </w:rPr>
  </w:style>
  <w:style w:type="paragraph" w:styleId="Objetducommentaire">
    <w:name w:val="annotation subject"/>
    <w:basedOn w:val="Commentaire"/>
    <w:next w:val="Commentaire"/>
    <w:link w:val="ObjetducommentaireCar"/>
    <w:uiPriority w:val="99"/>
    <w:semiHidden/>
    <w:unhideWhenUsed/>
    <w:rsid w:val="00B81029"/>
    <w:rPr>
      <w:b/>
    </w:rPr>
  </w:style>
  <w:style w:type="character" w:customStyle="1" w:styleId="ObjetducommentaireCar">
    <w:name w:val="Objet du commentaire Car"/>
    <w:basedOn w:val="CommentaireCar"/>
    <w:link w:val="Objetducommentaire"/>
    <w:uiPriority w:val="99"/>
    <w:semiHidden/>
    <w:rsid w:val="00B81029"/>
    <w:rPr>
      <w:rFonts w:ascii="Times New Roman" w:eastAsia="Calibri" w:hAnsi="Times New Roman" w:cs="Times New Roman"/>
      <w:b/>
      <w:bCs/>
      <w:color w:val="000000"/>
      <w:sz w:val="20"/>
      <w:szCs w:val="20"/>
      <w:lang w:eastAsia="zh-CN"/>
    </w:rPr>
  </w:style>
</w:styles>
</file>

<file path=word/webSettings.xml><?xml version="1.0" encoding="utf-8"?>
<w:webSettings xmlns:r="http://schemas.openxmlformats.org/officeDocument/2006/relationships" xmlns:w="http://schemas.openxmlformats.org/wordprocessingml/2006/main">
  <w:divs>
    <w:div w:id="67769273">
      <w:bodyDiv w:val="1"/>
      <w:marLeft w:val="0"/>
      <w:marRight w:val="0"/>
      <w:marTop w:val="0"/>
      <w:marBottom w:val="0"/>
      <w:divBdr>
        <w:top w:val="none" w:sz="0" w:space="0" w:color="auto"/>
        <w:left w:val="none" w:sz="0" w:space="0" w:color="auto"/>
        <w:bottom w:val="none" w:sz="0" w:space="0" w:color="auto"/>
        <w:right w:val="none" w:sz="0" w:space="0" w:color="auto"/>
      </w:divBdr>
    </w:div>
    <w:div w:id="73671625">
      <w:bodyDiv w:val="1"/>
      <w:marLeft w:val="0"/>
      <w:marRight w:val="0"/>
      <w:marTop w:val="0"/>
      <w:marBottom w:val="0"/>
      <w:divBdr>
        <w:top w:val="none" w:sz="0" w:space="0" w:color="auto"/>
        <w:left w:val="none" w:sz="0" w:space="0" w:color="auto"/>
        <w:bottom w:val="none" w:sz="0" w:space="0" w:color="auto"/>
        <w:right w:val="none" w:sz="0" w:space="0" w:color="auto"/>
      </w:divBdr>
    </w:div>
    <w:div w:id="112023513">
      <w:bodyDiv w:val="1"/>
      <w:marLeft w:val="0"/>
      <w:marRight w:val="0"/>
      <w:marTop w:val="0"/>
      <w:marBottom w:val="0"/>
      <w:divBdr>
        <w:top w:val="none" w:sz="0" w:space="0" w:color="auto"/>
        <w:left w:val="none" w:sz="0" w:space="0" w:color="auto"/>
        <w:bottom w:val="none" w:sz="0" w:space="0" w:color="auto"/>
        <w:right w:val="none" w:sz="0" w:space="0" w:color="auto"/>
      </w:divBdr>
    </w:div>
    <w:div w:id="129830325">
      <w:bodyDiv w:val="1"/>
      <w:marLeft w:val="0"/>
      <w:marRight w:val="0"/>
      <w:marTop w:val="0"/>
      <w:marBottom w:val="0"/>
      <w:divBdr>
        <w:top w:val="none" w:sz="0" w:space="0" w:color="auto"/>
        <w:left w:val="none" w:sz="0" w:space="0" w:color="auto"/>
        <w:bottom w:val="none" w:sz="0" w:space="0" w:color="auto"/>
        <w:right w:val="none" w:sz="0" w:space="0" w:color="auto"/>
      </w:divBdr>
    </w:div>
    <w:div w:id="137306356">
      <w:bodyDiv w:val="1"/>
      <w:marLeft w:val="0"/>
      <w:marRight w:val="0"/>
      <w:marTop w:val="0"/>
      <w:marBottom w:val="0"/>
      <w:divBdr>
        <w:top w:val="none" w:sz="0" w:space="0" w:color="auto"/>
        <w:left w:val="none" w:sz="0" w:space="0" w:color="auto"/>
        <w:bottom w:val="none" w:sz="0" w:space="0" w:color="auto"/>
        <w:right w:val="none" w:sz="0" w:space="0" w:color="auto"/>
      </w:divBdr>
    </w:div>
    <w:div w:id="162093943">
      <w:bodyDiv w:val="1"/>
      <w:marLeft w:val="0"/>
      <w:marRight w:val="0"/>
      <w:marTop w:val="0"/>
      <w:marBottom w:val="0"/>
      <w:divBdr>
        <w:top w:val="none" w:sz="0" w:space="0" w:color="auto"/>
        <w:left w:val="none" w:sz="0" w:space="0" w:color="auto"/>
        <w:bottom w:val="none" w:sz="0" w:space="0" w:color="auto"/>
        <w:right w:val="none" w:sz="0" w:space="0" w:color="auto"/>
      </w:divBdr>
    </w:div>
    <w:div w:id="199516492">
      <w:bodyDiv w:val="1"/>
      <w:marLeft w:val="0"/>
      <w:marRight w:val="0"/>
      <w:marTop w:val="0"/>
      <w:marBottom w:val="0"/>
      <w:divBdr>
        <w:top w:val="none" w:sz="0" w:space="0" w:color="auto"/>
        <w:left w:val="none" w:sz="0" w:space="0" w:color="auto"/>
        <w:bottom w:val="none" w:sz="0" w:space="0" w:color="auto"/>
        <w:right w:val="none" w:sz="0" w:space="0" w:color="auto"/>
      </w:divBdr>
    </w:div>
    <w:div w:id="234365832">
      <w:bodyDiv w:val="1"/>
      <w:marLeft w:val="0"/>
      <w:marRight w:val="0"/>
      <w:marTop w:val="0"/>
      <w:marBottom w:val="0"/>
      <w:divBdr>
        <w:top w:val="none" w:sz="0" w:space="0" w:color="auto"/>
        <w:left w:val="none" w:sz="0" w:space="0" w:color="auto"/>
        <w:bottom w:val="none" w:sz="0" w:space="0" w:color="auto"/>
        <w:right w:val="none" w:sz="0" w:space="0" w:color="auto"/>
      </w:divBdr>
    </w:div>
    <w:div w:id="264852436">
      <w:bodyDiv w:val="1"/>
      <w:marLeft w:val="0"/>
      <w:marRight w:val="0"/>
      <w:marTop w:val="0"/>
      <w:marBottom w:val="0"/>
      <w:divBdr>
        <w:top w:val="none" w:sz="0" w:space="0" w:color="auto"/>
        <w:left w:val="none" w:sz="0" w:space="0" w:color="auto"/>
        <w:bottom w:val="none" w:sz="0" w:space="0" w:color="auto"/>
        <w:right w:val="none" w:sz="0" w:space="0" w:color="auto"/>
      </w:divBdr>
    </w:div>
    <w:div w:id="306709936">
      <w:bodyDiv w:val="1"/>
      <w:marLeft w:val="0"/>
      <w:marRight w:val="0"/>
      <w:marTop w:val="0"/>
      <w:marBottom w:val="0"/>
      <w:divBdr>
        <w:top w:val="none" w:sz="0" w:space="0" w:color="auto"/>
        <w:left w:val="none" w:sz="0" w:space="0" w:color="auto"/>
        <w:bottom w:val="none" w:sz="0" w:space="0" w:color="auto"/>
        <w:right w:val="none" w:sz="0" w:space="0" w:color="auto"/>
      </w:divBdr>
    </w:div>
    <w:div w:id="317467952">
      <w:bodyDiv w:val="1"/>
      <w:marLeft w:val="0"/>
      <w:marRight w:val="0"/>
      <w:marTop w:val="0"/>
      <w:marBottom w:val="0"/>
      <w:divBdr>
        <w:top w:val="none" w:sz="0" w:space="0" w:color="auto"/>
        <w:left w:val="none" w:sz="0" w:space="0" w:color="auto"/>
        <w:bottom w:val="none" w:sz="0" w:space="0" w:color="auto"/>
        <w:right w:val="none" w:sz="0" w:space="0" w:color="auto"/>
      </w:divBdr>
    </w:div>
    <w:div w:id="318191032">
      <w:bodyDiv w:val="1"/>
      <w:marLeft w:val="0"/>
      <w:marRight w:val="0"/>
      <w:marTop w:val="0"/>
      <w:marBottom w:val="0"/>
      <w:divBdr>
        <w:top w:val="none" w:sz="0" w:space="0" w:color="auto"/>
        <w:left w:val="none" w:sz="0" w:space="0" w:color="auto"/>
        <w:bottom w:val="none" w:sz="0" w:space="0" w:color="auto"/>
        <w:right w:val="none" w:sz="0" w:space="0" w:color="auto"/>
      </w:divBdr>
    </w:div>
    <w:div w:id="329673619">
      <w:bodyDiv w:val="1"/>
      <w:marLeft w:val="0"/>
      <w:marRight w:val="0"/>
      <w:marTop w:val="0"/>
      <w:marBottom w:val="0"/>
      <w:divBdr>
        <w:top w:val="none" w:sz="0" w:space="0" w:color="auto"/>
        <w:left w:val="none" w:sz="0" w:space="0" w:color="auto"/>
        <w:bottom w:val="none" w:sz="0" w:space="0" w:color="auto"/>
        <w:right w:val="none" w:sz="0" w:space="0" w:color="auto"/>
      </w:divBdr>
    </w:div>
    <w:div w:id="336156396">
      <w:bodyDiv w:val="1"/>
      <w:marLeft w:val="0"/>
      <w:marRight w:val="0"/>
      <w:marTop w:val="0"/>
      <w:marBottom w:val="0"/>
      <w:divBdr>
        <w:top w:val="none" w:sz="0" w:space="0" w:color="auto"/>
        <w:left w:val="none" w:sz="0" w:space="0" w:color="auto"/>
        <w:bottom w:val="none" w:sz="0" w:space="0" w:color="auto"/>
        <w:right w:val="none" w:sz="0" w:space="0" w:color="auto"/>
      </w:divBdr>
    </w:div>
    <w:div w:id="481234468">
      <w:bodyDiv w:val="1"/>
      <w:marLeft w:val="0"/>
      <w:marRight w:val="0"/>
      <w:marTop w:val="0"/>
      <w:marBottom w:val="0"/>
      <w:divBdr>
        <w:top w:val="none" w:sz="0" w:space="0" w:color="auto"/>
        <w:left w:val="none" w:sz="0" w:space="0" w:color="auto"/>
        <w:bottom w:val="none" w:sz="0" w:space="0" w:color="auto"/>
        <w:right w:val="none" w:sz="0" w:space="0" w:color="auto"/>
      </w:divBdr>
    </w:div>
    <w:div w:id="482114801">
      <w:bodyDiv w:val="1"/>
      <w:marLeft w:val="0"/>
      <w:marRight w:val="0"/>
      <w:marTop w:val="0"/>
      <w:marBottom w:val="0"/>
      <w:divBdr>
        <w:top w:val="none" w:sz="0" w:space="0" w:color="auto"/>
        <w:left w:val="none" w:sz="0" w:space="0" w:color="auto"/>
        <w:bottom w:val="none" w:sz="0" w:space="0" w:color="auto"/>
        <w:right w:val="none" w:sz="0" w:space="0" w:color="auto"/>
      </w:divBdr>
    </w:div>
    <w:div w:id="488449610">
      <w:bodyDiv w:val="1"/>
      <w:marLeft w:val="0"/>
      <w:marRight w:val="0"/>
      <w:marTop w:val="0"/>
      <w:marBottom w:val="0"/>
      <w:divBdr>
        <w:top w:val="none" w:sz="0" w:space="0" w:color="auto"/>
        <w:left w:val="none" w:sz="0" w:space="0" w:color="auto"/>
        <w:bottom w:val="none" w:sz="0" w:space="0" w:color="auto"/>
        <w:right w:val="none" w:sz="0" w:space="0" w:color="auto"/>
      </w:divBdr>
    </w:div>
    <w:div w:id="521090852">
      <w:bodyDiv w:val="1"/>
      <w:marLeft w:val="0"/>
      <w:marRight w:val="0"/>
      <w:marTop w:val="0"/>
      <w:marBottom w:val="0"/>
      <w:divBdr>
        <w:top w:val="none" w:sz="0" w:space="0" w:color="auto"/>
        <w:left w:val="none" w:sz="0" w:space="0" w:color="auto"/>
        <w:bottom w:val="none" w:sz="0" w:space="0" w:color="auto"/>
        <w:right w:val="none" w:sz="0" w:space="0" w:color="auto"/>
      </w:divBdr>
    </w:div>
    <w:div w:id="523205190">
      <w:bodyDiv w:val="1"/>
      <w:marLeft w:val="0"/>
      <w:marRight w:val="0"/>
      <w:marTop w:val="0"/>
      <w:marBottom w:val="0"/>
      <w:divBdr>
        <w:top w:val="none" w:sz="0" w:space="0" w:color="auto"/>
        <w:left w:val="none" w:sz="0" w:space="0" w:color="auto"/>
        <w:bottom w:val="none" w:sz="0" w:space="0" w:color="auto"/>
        <w:right w:val="none" w:sz="0" w:space="0" w:color="auto"/>
      </w:divBdr>
    </w:div>
    <w:div w:id="628974454">
      <w:bodyDiv w:val="1"/>
      <w:marLeft w:val="0"/>
      <w:marRight w:val="0"/>
      <w:marTop w:val="0"/>
      <w:marBottom w:val="0"/>
      <w:divBdr>
        <w:top w:val="none" w:sz="0" w:space="0" w:color="auto"/>
        <w:left w:val="none" w:sz="0" w:space="0" w:color="auto"/>
        <w:bottom w:val="none" w:sz="0" w:space="0" w:color="auto"/>
        <w:right w:val="none" w:sz="0" w:space="0" w:color="auto"/>
      </w:divBdr>
    </w:div>
    <w:div w:id="657609389">
      <w:bodyDiv w:val="1"/>
      <w:marLeft w:val="0"/>
      <w:marRight w:val="0"/>
      <w:marTop w:val="0"/>
      <w:marBottom w:val="0"/>
      <w:divBdr>
        <w:top w:val="none" w:sz="0" w:space="0" w:color="auto"/>
        <w:left w:val="none" w:sz="0" w:space="0" w:color="auto"/>
        <w:bottom w:val="none" w:sz="0" w:space="0" w:color="auto"/>
        <w:right w:val="none" w:sz="0" w:space="0" w:color="auto"/>
      </w:divBdr>
    </w:div>
    <w:div w:id="695815181">
      <w:bodyDiv w:val="1"/>
      <w:marLeft w:val="0"/>
      <w:marRight w:val="0"/>
      <w:marTop w:val="0"/>
      <w:marBottom w:val="0"/>
      <w:divBdr>
        <w:top w:val="none" w:sz="0" w:space="0" w:color="auto"/>
        <w:left w:val="none" w:sz="0" w:space="0" w:color="auto"/>
        <w:bottom w:val="none" w:sz="0" w:space="0" w:color="auto"/>
        <w:right w:val="none" w:sz="0" w:space="0" w:color="auto"/>
      </w:divBdr>
    </w:div>
    <w:div w:id="713506846">
      <w:bodyDiv w:val="1"/>
      <w:marLeft w:val="0"/>
      <w:marRight w:val="0"/>
      <w:marTop w:val="0"/>
      <w:marBottom w:val="0"/>
      <w:divBdr>
        <w:top w:val="none" w:sz="0" w:space="0" w:color="auto"/>
        <w:left w:val="none" w:sz="0" w:space="0" w:color="auto"/>
        <w:bottom w:val="none" w:sz="0" w:space="0" w:color="auto"/>
        <w:right w:val="none" w:sz="0" w:space="0" w:color="auto"/>
      </w:divBdr>
    </w:div>
    <w:div w:id="728459829">
      <w:bodyDiv w:val="1"/>
      <w:marLeft w:val="0"/>
      <w:marRight w:val="0"/>
      <w:marTop w:val="0"/>
      <w:marBottom w:val="0"/>
      <w:divBdr>
        <w:top w:val="none" w:sz="0" w:space="0" w:color="auto"/>
        <w:left w:val="none" w:sz="0" w:space="0" w:color="auto"/>
        <w:bottom w:val="none" w:sz="0" w:space="0" w:color="auto"/>
        <w:right w:val="none" w:sz="0" w:space="0" w:color="auto"/>
      </w:divBdr>
    </w:div>
    <w:div w:id="751659797">
      <w:bodyDiv w:val="1"/>
      <w:marLeft w:val="0"/>
      <w:marRight w:val="0"/>
      <w:marTop w:val="0"/>
      <w:marBottom w:val="0"/>
      <w:divBdr>
        <w:top w:val="none" w:sz="0" w:space="0" w:color="auto"/>
        <w:left w:val="none" w:sz="0" w:space="0" w:color="auto"/>
        <w:bottom w:val="none" w:sz="0" w:space="0" w:color="auto"/>
        <w:right w:val="none" w:sz="0" w:space="0" w:color="auto"/>
      </w:divBdr>
    </w:div>
    <w:div w:id="757290301">
      <w:bodyDiv w:val="1"/>
      <w:marLeft w:val="0"/>
      <w:marRight w:val="0"/>
      <w:marTop w:val="0"/>
      <w:marBottom w:val="0"/>
      <w:divBdr>
        <w:top w:val="none" w:sz="0" w:space="0" w:color="auto"/>
        <w:left w:val="none" w:sz="0" w:space="0" w:color="auto"/>
        <w:bottom w:val="none" w:sz="0" w:space="0" w:color="auto"/>
        <w:right w:val="none" w:sz="0" w:space="0" w:color="auto"/>
      </w:divBdr>
    </w:div>
    <w:div w:id="772475155">
      <w:bodyDiv w:val="1"/>
      <w:marLeft w:val="0"/>
      <w:marRight w:val="0"/>
      <w:marTop w:val="0"/>
      <w:marBottom w:val="0"/>
      <w:divBdr>
        <w:top w:val="none" w:sz="0" w:space="0" w:color="auto"/>
        <w:left w:val="none" w:sz="0" w:space="0" w:color="auto"/>
        <w:bottom w:val="none" w:sz="0" w:space="0" w:color="auto"/>
        <w:right w:val="none" w:sz="0" w:space="0" w:color="auto"/>
      </w:divBdr>
    </w:div>
    <w:div w:id="805511605">
      <w:bodyDiv w:val="1"/>
      <w:marLeft w:val="0"/>
      <w:marRight w:val="0"/>
      <w:marTop w:val="0"/>
      <w:marBottom w:val="0"/>
      <w:divBdr>
        <w:top w:val="none" w:sz="0" w:space="0" w:color="auto"/>
        <w:left w:val="none" w:sz="0" w:space="0" w:color="auto"/>
        <w:bottom w:val="none" w:sz="0" w:space="0" w:color="auto"/>
        <w:right w:val="none" w:sz="0" w:space="0" w:color="auto"/>
      </w:divBdr>
    </w:div>
    <w:div w:id="827551498">
      <w:bodyDiv w:val="1"/>
      <w:marLeft w:val="0"/>
      <w:marRight w:val="0"/>
      <w:marTop w:val="0"/>
      <w:marBottom w:val="0"/>
      <w:divBdr>
        <w:top w:val="none" w:sz="0" w:space="0" w:color="auto"/>
        <w:left w:val="none" w:sz="0" w:space="0" w:color="auto"/>
        <w:bottom w:val="none" w:sz="0" w:space="0" w:color="auto"/>
        <w:right w:val="none" w:sz="0" w:space="0" w:color="auto"/>
      </w:divBdr>
    </w:div>
    <w:div w:id="833298871">
      <w:bodyDiv w:val="1"/>
      <w:marLeft w:val="0"/>
      <w:marRight w:val="0"/>
      <w:marTop w:val="0"/>
      <w:marBottom w:val="0"/>
      <w:divBdr>
        <w:top w:val="none" w:sz="0" w:space="0" w:color="auto"/>
        <w:left w:val="none" w:sz="0" w:space="0" w:color="auto"/>
        <w:bottom w:val="none" w:sz="0" w:space="0" w:color="auto"/>
        <w:right w:val="none" w:sz="0" w:space="0" w:color="auto"/>
      </w:divBdr>
    </w:div>
    <w:div w:id="834107660">
      <w:bodyDiv w:val="1"/>
      <w:marLeft w:val="0"/>
      <w:marRight w:val="0"/>
      <w:marTop w:val="0"/>
      <w:marBottom w:val="0"/>
      <w:divBdr>
        <w:top w:val="none" w:sz="0" w:space="0" w:color="auto"/>
        <w:left w:val="none" w:sz="0" w:space="0" w:color="auto"/>
        <w:bottom w:val="none" w:sz="0" w:space="0" w:color="auto"/>
        <w:right w:val="none" w:sz="0" w:space="0" w:color="auto"/>
      </w:divBdr>
    </w:div>
    <w:div w:id="857424506">
      <w:bodyDiv w:val="1"/>
      <w:marLeft w:val="0"/>
      <w:marRight w:val="0"/>
      <w:marTop w:val="0"/>
      <w:marBottom w:val="0"/>
      <w:divBdr>
        <w:top w:val="none" w:sz="0" w:space="0" w:color="auto"/>
        <w:left w:val="none" w:sz="0" w:space="0" w:color="auto"/>
        <w:bottom w:val="none" w:sz="0" w:space="0" w:color="auto"/>
        <w:right w:val="none" w:sz="0" w:space="0" w:color="auto"/>
      </w:divBdr>
    </w:div>
    <w:div w:id="868296641">
      <w:bodyDiv w:val="1"/>
      <w:marLeft w:val="0"/>
      <w:marRight w:val="0"/>
      <w:marTop w:val="0"/>
      <w:marBottom w:val="0"/>
      <w:divBdr>
        <w:top w:val="none" w:sz="0" w:space="0" w:color="auto"/>
        <w:left w:val="none" w:sz="0" w:space="0" w:color="auto"/>
        <w:bottom w:val="none" w:sz="0" w:space="0" w:color="auto"/>
        <w:right w:val="none" w:sz="0" w:space="0" w:color="auto"/>
      </w:divBdr>
    </w:div>
    <w:div w:id="898593184">
      <w:bodyDiv w:val="1"/>
      <w:marLeft w:val="0"/>
      <w:marRight w:val="0"/>
      <w:marTop w:val="0"/>
      <w:marBottom w:val="0"/>
      <w:divBdr>
        <w:top w:val="none" w:sz="0" w:space="0" w:color="auto"/>
        <w:left w:val="none" w:sz="0" w:space="0" w:color="auto"/>
        <w:bottom w:val="none" w:sz="0" w:space="0" w:color="auto"/>
        <w:right w:val="none" w:sz="0" w:space="0" w:color="auto"/>
      </w:divBdr>
    </w:div>
    <w:div w:id="916984442">
      <w:bodyDiv w:val="1"/>
      <w:marLeft w:val="0"/>
      <w:marRight w:val="0"/>
      <w:marTop w:val="0"/>
      <w:marBottom w:val="0"/>
      <w:divBdr>
        <w:top w:val="none" w:sz="0" w:space="0" w:color="auto"/>
        <w:left w:val="none" w:sz="0" w:space="0" w:color="auto"/>
        <w:bottom w:val="none" w:sz="0" w:space="0" w:color="auto"/>
        <w:right w:val="none" w:sz="0" w:space="0" w:color="auto"/>
      </w:divBdr>
    </w:div>
    <w:div w:id="951476177">
      <w:bodyDiv w:val="1"/>
      <w:marLeft w:val="0"/>
      <w:marRight w:val="0"/>
      <w:marTop w:val="0"/>
      <w:marBottom w:val="0"/>
      <w:divBdr>
        <w:top w:val="none" w:sz="0" w:space="0" w:color="auto"/>
        <w:left w:val="none" w:sz="0" w:space="0" w:color="auto"/>
        <w:bottom w:val="none" w:sz="0" w:space="0" w:color="auto"/>
        <w:right w:val="none" w:sz="0" w:space="0" w:color="auto"/>
      </w:divBdr>
    </w:div>
    <w:div w:id="965699889">
      <w:bodyDiv w:val="1"/>
      <w:marLeft w:val="0"/>
      <w:marRight w:val="0"/>
      <w:marTop w:val="0"/>
      <w:marBottom w:val="0"/>
      <w:divBdr>
        <w:top w:val="none" w:sz="0" w:space="0" w:color="auto"/>
        <w:left w:val="none" w:sz="0" w:space="0" w:color="auto"/>
        <w:bottom w:val="none" w:sz="0" w:space="0" w:color="auto"/>
        <w:right w:val="none" w:sz="0" w:space="0" w:color="auto"/>
      </w:divBdr>
    </w:div>
    <w:div w:id="1010763302">
      <w:bodyDiv w:val="1"/>
      <w:marLeft w:val="0"/>
      <w:marRight w:val="0"/>
      <w:marTop w:val="0"/>
      <w:marBottom w:val="0"/>
      <w:divBdr>
        <w:top w:val="none" w:sz="0" w:space="0" w:color="auto"/>
        <w:left w:val="none" w:sz="0" w:space="0" w:color="auto"/>
        <w:bottom w:val="none" w:sz="0" w:space="0" w:color="auto"/>
        <w:right w:val="none" w:sz="0" w:space="0" w:color="auto"/>
      </w:divBdr>
    </w:div>
    <w:div w:id="1014261421">
      <w:bodyDiv w:val="1"/>
      <w:marLeft w:val="0"/>
      <w:marRight w:val="0"/>
      <w:marTop w:val="0"/>
      <w:marBottom w:val="0"/>
      <w:divBdr>
        <w:top w:val="none" w:sz="0" w:space="0" w:color="auto"/>
        <w:left w:val="none" w:sz="0" w:space="0" w:color="auto"/>
        <w:bottom w:val="none" w:sz="0" w:space="0" w:color="auto"/>
        <w:right w:val="none" w:sz="0" w:space="0" w:color="auto"/>
      </w:divBdr>
    </w:div>
    <w:div w:id="1031079019">
      <w:bodyDiv w:val="1"/>
      <w:marLeft w:val="0"/>
      <w:marRight w:val="0"/>
      <w:marTop w:val="0"/>
      <w:marBottom w:val="0"/>
      <w:divBdr>
        <w:top w:val="none" w:sz="0" w:space="0" w:color="auto"/>
        <w:left w:val="none" w:sz="0" w:space="0" w:color="auto"/>
        <w:bottom w:val="none" w:sz="0" w:space="0" w:color="auto"/>
        <w:right w:val="none" w:sz="0" w:space="0" w:color="auto"/>
      </w:divBdr>
    </w:div>
    <w:div w:id="1064985712">
      <w:bodyDiv w:val="1"/>
      <w:marLeft w:val="0"/>
      <w:marRight w:val="0"/>
      <w:marTop w:val="0"/>
      <w:marBottom w:val="0"/>
      <w:divBdr>
        <w:top w:val="none" w:sz="0" w:space="0" w:color="auto"/>
        <w:left w:val="none" w:sz="0" w:space="0" w:color="auto"/>
        <w:bottom w:val="none" w:sz="0" w:space="0" w:color="auto"/>
        <w:right w:val="none" w:sz="0" w:space="0" w:color="auto"/>
      </w:divBdr>
    </w:div>
    <w:div w:id="1138841667">
      <w:bodyDiv w:val="1"/>
      <w:marLeft w:val="0"/>
      <w:marRight w:val="0"/>
      <w:marTop w:val="0"/>
      <w:marBottom w:val="0"/>
      <w:divBdr>
        <w:top w:val="none" w:sz="0" w:space="0" w:color="auto"/>
        <w:left w:val="none" w:sz="0" w:space="0" w:color="auto"/>
        <w:bottom w:val="none" w:sz="0" w:space="0" w:color="auto"/>
        <w:right w:val="none" w:sz="0" w:space="0" w:color="auto"/>
      </w:divBdr>
    </w:div>
    <w:div w:id="1139222385">
      <w:bodyDiv w:val="1"/>
      <w:marLeft w:val="0"/>
      <w:marRight w:val="0"/>
      <w:marTop w:val="0"/>
      <w:marBottom w:val="0"/>
      <w:divBdr>
        <w:top w:val="none" w:sz="0" w:space="0" w:color="auto"/>
        <w:left w:val="none" w:sz="0" w:space="0" w:color="auto"/>
        <w:bottom w:val="none" w:sz="0" w:space="0" w:color="auto"/>
        <w:right w:val="none" w:sz="0" w:space="0" w:color="auto"/>
      </w:divBdr>
    </w:div>
    <w:div w:id="1160854495">
      <w:bodyDiv w:val="1"/>
      <w:marLeft w:val="0"/>
      <w:marRight w:val="0"/>
      <w:marTop w:val="0"/>
      <w:marBottom w:val="0"/>
      <w:divBdr>
        <w:top w:val="none" w:sz="0" w:space="0" w:color="auto"/>
        <w:left w:val="none" w:sz="0" w:space="0" w:color="auto"/>
        <w:bottom w:val="none" w:sz="0" w:space="0" w:color="auto"/>
        <w:right w:val="none" w:sz="0" w:space="0" w:color="auto"/>
      </w:divBdr>
    </w:div>
    <w:div w:id="1167790100">
      <w:bodyDiv w:val="1"/>
      <w:marLeft w:val="0"/>
      <w:marRight w:val="0"/>
      <w:marTop w:val="0"/>
      <w:marBottom w:val="0"/>
      <w:divBdr>
        <w:top w:val="none" w:sz="0" w:space="0" w:color="auto"/>
        <w:left w:val="none" w:sz="0" w:space="0" w:color="auto"/>
        <w:bottom w:val="none" w:sz="0" w:space="0" w:color="auto"/>
        <w:right w:val="none" w:sz="0" w:space="0" w:color="auto"/>
      </w:divBdr>
    </w:div>
    <w:div w:id="1171872458">
      <w:bodyDiv w:val="1"/>
      <w:marLeft w:val="0"/>
      <w:marRight w:val="0"/>
      <w:marTop w:val="0"/>
      <w:marBottom w:val="0"/>
      <w:divBdr>
        <w:top w:val="none" w:sz="0" w:space="0" w:color="auto"/>
        <w:left w:val="none" w:sz="0" w:space="0" w:color="auto"/>
        <w:bottom w:val="none" w:sz="0" w:space="0" w:color="auto"/>
        <w:right w:val="none" w:sz="0" w:space="0" w:color="auto"/>
      </w:divBdr>
    </w:div>
    <w:div w:id="1220435359">
      <w:bodyDiv w:val="1"/>
      <w:marLeft w:val="0"/>
      <w:marRight w:val="0"/>
      <w:marTop w:val="0"/>
      <w:marBottom w:val="0"/>
      <w:divBdr>
        <w:top w:val="none" w:sz="0" w:space="0" w:color="auto"/>
        <w:left w:val="none" w:sz="0" w:space="0" w:color="auto"/>
        <w:bottom w:val="none" w:sz="0" w:space="0" w:color="auto"/>
        <w:right w:val="none" w:sz="0" w:space="0" w:color="auto"/>
      </w:divBdr>
    </w:div>
    <w:div w:id="1223179480">
      <w:bodyDiv w:val="1"/>
      <w:marLeft w:val="0"/>
      <w:marRight w:val="0"/>
      <w:marTop w:val="0"/>
      <w:marBottom w:val="0"/>
      <w:divBdr>
        <w:top w:val="none" w:sz="0" w:space="0" w:color="auto"/>
        <w:left w:val="none" w:sz="0" w:space="0" w:color="auto"/>
        <w:bottom w:val="none" w:sz="0" w:space="0" w:color="auto"/>
        <w:right w:val="none" w:sz="0" w:space="0" w:color="auto"/>
      </w:divBdr>
    </w:div>
    <w:div w:id="1245840133">
      <w:bodyDiv w:val="1"/>
      <w:marLeft w:val="0"/>
      <w:marRight w:val="0"/>
      <w:marTop w:val="0"/>
      <w:marBottom w:val="0"/>
      <w:divBdr>
        <w:top w:val="none" w:sz="0" w:space="0" w:color="auto"/>
        <w:left w:val="none" w:sz="0" w:space="0" w:color="auto"/>
        <w:bottom w:val="none" w:sz="0" w:space="0" w:color="auto"/>
        <w:right w:val="none" w:sz="0" w:space="0" w:color="auto"/>
      </w:divBdr>
    </w:div>
    <w:div w:id="1250963073">
      <w:bodyDiv w:val="1"/>
      <w:marLeft w:val="0"/>
      <w:marRight w:val="0"/>
      <w:marTop w:val="0"/>
      <w:marBottom w:val="0"/>
      <w:divBdr>
        <w:top w:val="none" w:sz="0" w:space="0" w:color="auto"/>
        <w:left w:val="none" w:sz="0" w:space="0" w:color="auto"/>
        <w:bottom w:val="none" w:sz="0" w:space="0" w:color="auto"/>
        <w:right w:val="none" w:sz="0" w:space="0" w:color="auto"/>
      </w:divBdr>
    </w:div>
    <w:div w:id="1324700920">
      <w:bodyDiv w:val="1"/>
      <w:marLeft w:val="0"/>
      <w:marRight w:val="0"/>
      <w:marTop w:val="0"/>
      <w:marBottom w:val="0"/>
      <w:divBdr>
        <w:top w:val="none" w:sz="0" w:space="0" w:color="auto"/>
        <w:left w:val="none" w:sz="0" w:space="0" w:color="auto"/>
        <w:bottom w:val="none" w:sz="0" w:space="0" w:color="auto"/>
        <w:right w:val="none" w:sz="0" w:space="0" w:color="auto"/>
      </w:divBdr>
    </w:div>
    <w:div w:id="1337534138">
      <w:bodyDiv w:val="1"/>
      <w:marLeft w:val="0"/>
      <w:marRight w:val="0"/>
      <w:marTop w:val="0"/>
      <w:marBottom w:val="0"/>
      <w:divBdr>
        <w:top w:val="none" w:sz="0" w:space="0" w:color="auto"/>
        <w:left w:val="none" w:sz="0" w:space="0" w:color="auto"/>
        <w:bottom w:val="none" w:sz="0" w:space="0" w:color="auto"/>
        <w:right w:val="none" w:sz="0" w:space="0" w:color="auto"/>
      </w:divBdr>
    </w:div>
    <w:div w:id="1347831053">
      <w:bodyDiv w:val="1"/>
      <w:marLeft w:val="0"/>
      <w:marRight w:val="0"/>
      <w:marTop w:val="0"/>
      <w:marBottom w:val="0"/>
      <w:divBdr>
        <w:top w:val="none" w:sz="0" w:space="0" w:color="auto"/>
        <w:left w:val="none" w:sz="0" w:space="0" w:color="auto"/>
        <w:bottom w:val="none" w:sz="0" w:space="0" w:color="auto"/>
        <w:right w:val="none" w:sz="0" w:space="0" w:color="auto"/>
      </w:divBdr>
    </w:div>
    <w:div w:id="1366057910">
      <w:bodyDiv w:val="1"/>
      <w:marLeft w:val="0"/>
      <w:marRight w:val="0"/>
      <w:marTop w:val="0"/>
      <w:marBottom w:val="0"/>
      <w:divBdr>
        <w:top w:val="none" w:sz="0" w:space="0" w:color="auto"/>
        <w:left w:val="none" w:sz="0" w:space="0" w:color="auto"/>
        <w:bottom w:val="none" w:sz="0" w:space="0" w:color="auto"/>
        <w:right w:val="none" w:sz="0" w:space="0" w:color="auto"/>
      </w:divBdr>
    </w:div>
    <w:div w:id="1383485714">
      <w:bodyDiv w:val="1"/>
      <w:marLeft w:val="0"/>
      <w:marRight w:val="0"/>
      <w:marTop w:val="0"/>
      <w:marBottom w:val="0"/>
      <w:divBdr>
        <w:top w:val="none" w:sz="0" w:space="0" w:color="auto"/>
        <w:left w:val="none" w:sz="0" w:space="0" w:color="auto"/>
        <w:bottom w:val="none" w:sz="0" w:space="0" w:color="auto"/>
        <w:right w:val="none" w:sz="0" w:space="0" w:color="auto"/>
      </w:divBdr>
    </w:div>
    <w:div w:id="1394431063">
      <w:bodyDiv w:val="1"/>
      <w:marLeft w:val="0"/>
      <w:marRight w:val="0"/>
      <w:marTop w:val="0"/>
      <w:marBottom w:val="0"/>
      <w:divBdr>
        <w:top w:val="none" w:sz="0" w:space="0" w:color="auto"/>
        <w:left w:val="none" w:sz="0" w:space="0" w:color="auto"/>
        <w:bottom w:val="none" w:sz="0" w:space="0" w:color="auto"/>
        <w:right w:val="none" w:sz="0" w:space="0" w:color="auto"/>
      </w:divBdr>
    </w:div>
    <w:div w:id="1535536584">
      <w:bodyDiv w:val="1"/>
      <w:marLeft w:val="0"/>
      <w:marRight w:val="0"/>
      <w:marTop w:val="0"/>
      <w:marBottom w:val="0"/>
      <w:divBdr>
        <w:top w:val="none" w:sz="0" w:space="0" w:color="auto"/>
        <w:left w:val="none" w:sz="0" w:space="0" w:color="auto"/>
        <w:bottom w:val="none" w:sz="0" w:space="0" w:color="auto"/>
        <w:right w:val="none" w:sz="0" w:space="0" w:color="auto"/>
      </w:divBdr>
    </w:div>
    <w:div w:id="1537544738">
      <w:bodyDiv w:val="1"/>
      <w:marLeft w:val="0"/>
      <w:marRight w:val="0"/>
      <w:marTop w:val="0"/>
      <w:marBottom w:val="0"/>
      <w:divBdr>
        <w:top w:val="none" w:sz="0" w:space="0" w:color="auto"/>
        <w:left w:val="none" w:sz="0" w:space="0" w:color="auto"/>
        <w:bottom w:val="none" w:sz="0" w:space="0" w:color="auto"/>
        <w:right w:val="none" w:sz="0" w:space="0" w:color="auto"/>
      </w:divBdr>
    </w:div>
    <w:div w:id="1542862197">
      <w:bodyDiv w:val="1"/>
      <w:marLeft w:val="0"/>
      <w:marRight w:val="0"/>
      <w:marTop w:val="0"/>
      <w:marBottom w:val="0"/>
      <w:divBdr>
        <w:top w:val="none" w:sz="0" w:space="0" w:color="auto"/>
        <w:left w:val="none" w:sz="0" w:space="0" w:color="auto"/>
        <w:bottom w:val="none" w:sz="0" w:space="0" w:color="auto"/>
        <w:right w:val="none" w:sz="0" w:space="0" w:color="auto"/>
      </w:divBdr>
    </w:div>
    <w:div w:id="1543319709">
      <w:bodyDiv w:val="1"/>
      <w:marLeft w:val="0"/>
      <w:marRight w:val="0"/>
      <w:marTop w:val="0"/>
      <w:marBottom w:val="0"/>
      <w:divBdr>
        <w:top w:val="none" w:sz="0" w:space="0" w:color="auto"/>
        <w:left w:val="none" w:sz="0" w:space="0" w:color="auto"/>
        <w:bottom w:val="none" w:sz="0" w:space="0" w:color="auto"/>
        <w:right w:val="none" w:sz="0" w:space="0" w:color="auto"/>
      </w:divBdr>
    </w:div>
    <w:div w:id="1558392294">
      <w:bodyDiv w:val="1"/>
      <w:marLeft w:val="0"/>
      <w:marRight w:val="0"/>
      <w:marTop w:val="0"/>
      <w:marBottom w:val="0"/>
      <w:divBdr>
        <w:top w:val="none" w:sz="0" w:space="0" w:color="auto"/>
        <w:left w:val="none" w:sz="0" w:space="0" w:color="auto"/>
        <w:bottom w:val="none" w:sz="0" w:space="0" w:color="auto"/>
        <w:right w:val="none" w:sz="0" w:space="0" w:color="auto"/>
      </w:divBdr>
    </w:div>
    <w:div w:id="1610356357">
      <w:bodyDiv w:val="1"/>
      <w:marLeft w:val="0"/>
      <w:marRight w:val="0"/>
      <w:marTop w:val="0"/>
      <w:marBottom w:val="0"/>
      <w:divBdr>
        <w:top w:val="none" w:sz="0" w:space="0" w:color="auto"/>
        <w:left w:val="none" w:sz="0" w:space="0" w:color="auto"/>
        <w:bottom w:val="none" w:sz="0" w:space="0" w:color="auto"/>
        <w:right w:val="none" w:sz="0" w:space="0" w:color="auto"/>
      </w:divBdr>
    </w:div>
    <w:div w:id="1636833252">
      <w:bodyDiv w:val="1"/>
      <w:marLeft w:val="0"/>
      <w:marRight w:val="0"/>
      <w:marTop w:val="0"/>
      <w:marBottom w:val="0"/>
      <w:divBdr>
        <w:top w:val="none" w:sz="0" w:space="0" w:color="auto"/>
        <w:left w:val="none" w:sz="0" w:space="0" w:color="auto"/>
        <w:bottom w:val="none" w:sz="0" w:space="0" w:color="auto"/>
        <w:right w:val="none" w:sz="0" w:space="0" w:color="auto"/>
      </w:divBdr>
    </w:div>
    <w:div w:id="1657566788">
      <w:bodyDiv w:val="1"/>
      <w:marLeft w:val="0"/>
      <w:marRight w:val="0"/>
      <w:marTop w:val="0"/>
      <w:marBottom w:val="0"/>
      <w:divBdr>
        <w:top w:val="none" w:sz="0" w:space="0" w:color="auto"/>
        <w:left w:val="none" w:sz="0" w:space="0" w:color="auto"/>
        <w:bottom w:val="none" w:sz="0" w:space="0" w:color="auto"/>
        <w:right w:val="none" w:sz="0" w:space="0" w:color="auto"/>
      </w:divBdr>
    </w:div>
    <w:div w:id="1664353356">
      <w:bodyDiv w:val="1"/>
      <w:marLeft w:val="0"/>
      <w:marRight w:val="0"/>
      <w:marTop w:val="0"/>
      <w:marBottom w:val="0"/>
      <w:divBdr>
        <w:top w:val="none" w:sz="0" w:space="0" w:color="auto"/>
        <w:left w:val="none" w:sz="0" w:space="0" w:color="auto"/>
        <w:bottom w:val="none" w:sz="0" w:space="0" w:color="auto"/>
        <w:right w:val="none" w:sz="0" w:space="0" w:color="auto"/>
      </w:divBdr>
    </w:div>
    <w:div w:id="1705934460">
      <w:bodyDiv w:val="1"/>
      <w:marLeft w:val="0"/>
      <w:marRight w:val="0"/>
      <w:marTop w:val="0"/>
      <w:marBottom w:val="0"/>
      <w:divBdr>
        <w:top w:val="none" w:sz="0" w:space="0" w:color="auto"/>
        <w:left w:val="none" w:sz="0" w:space="0" w:color="auto"/>
        <w:bottom w:val="none" w:sz="0" w:space="0" w:color="auto"/>
        <w:right w:val="none" w:sz="0" w:space="0" w:color="auto"/>
      </w:divBdr>
    </w:div>
    <w:div w:id="1708791673">
      <w:bodyDiv w:val="1"/>
      <w:marLeft w:val="0"/>
      <w:marRight w:val="0"/>
      <w:marTop w:val="0"/>
      <w:marBottom w:val="0"/>
      <w:divBdr>
        <w:top w:val="none" w:sz="0" w:space="0" w:color="auto"/>
        <w:left w:val="none" w:sz="0" w:space="0" w:color="auto"/>
        <w:bottom w:val="none" w:sz="0" w:space="0" w:color="auto"/>
        <w:right w:val="none" w:sz="0" w:space="0" w:color="auto"/>
      </w:divBdr>
    </w:div>
    <w:div w:id="1727139219">
      <w:bodyDiv w:val="1"/>
      <w:marLeft w:val="0"/>
      <w:marRight w:val="0"/>
      <w:marTop w:val="0"/>
      <w:marBottom w:val="0"/>
      <w:divBdr>
        <w:top w:val="none" w:sz="0" w:space="0" w:color="auto"/>
        <w:left w:val="none" w:sz="0" w:space="0" w:color="auto"/>
        <w:bottom w:val="none" w:sz="0" w:space="0" w:color="auto"/>
        <w:right w:val="none" w:sz="0" w:space="0" w:color="auto"/>
      </w:divBdr>
    </w:div>
    <w:div w:id="1739277942">
      <w:bodyDiv w:val="1"/>
      <w:marLeft w:val="0"/>
      <w:marRight w:val="0"/>
      <w:marTop w:val="0"/>
      <w:marBottom w:val="0"/>
      <w:divBdr>
        <w:top w:val="none" w:sz="0" w:space="0" w:color="auto"/>
        <w:left w:val="none" w:sz="0" w:space="0" w:color="auto"/>
        <w:bottom w:val="none" w:sz="0" w:space="0" w:color="auto"/>
        <w:right w:val="none" w:sz="0" w:space="0" w:color="auto"/>
      </w:divBdr>
    </w:div>
    <w:div w:id="1812019043">
      <w:bodyDiv w:val="1"/>
      <w:marLeft w:val="0"/>
      <w:marRight w:val="0"/>
      <w:marTop w:val="0"/>
      <w:marBottom w:val="0"/>
      <w:divBdr>
        <w:top w:val="none" w:sz="0" w:space="0" w:color="auto"/>
        <w:left w:val="none" w:sz="0" w:space="0" w:color="auto"/>
        <w:bottom w:val="none" w:sz="0" w:space="0" w:color="auto"/>
        <w:right w:val="none" w:sz="0" w:space="0" w:color="auto"/>
      </w:divBdr>
    </w:div>
    <w:div w:id="1861893156">
      <w:bodyDiv w:val="1"/>
      <w:marLeft w:val="0"/>
      <w:marRight w:val="0"/>
      <w:marTop w:val="0"/>
      <w:marBottom w:val="0"/>
      <w:divBdr>
        <w:top w:val="none" w:sz="0" w:space="0" w:color="auto"/>
        <w:left w:val="none" w:sz="0" w:space="0" w:color="auto"/>
        <w:bottom w:val="none" w:sz="0" w:space="0" w:color="auto"/>
        <w:right w:val="none" w:sz="0" w:space="0" w:color="auto"/>
      </w:divBdr>
    </w:div>
    <w:div w:id="1867206645">
      <w:bodyDiv w:val="1"/>
      <w:marLeft w:val="0"/>
      <w:marRight w:val="0"/>
      <w:marTop w:val="0"/>
      <w:marBottom w:val="0"/>
      <w:divBdr>
        <w:top w:val="none" w:sz="0" w:space="0" w:color="auto"/>
        <w:left w:val="none" w:sz="0" w:space="0" w:color="auto"/>
        <w:bottom w:val="none" w:sz="0" w:space="0" w:color="auto"/>
        <w:right w:val="none" w:sz="0" w:space="0" w:color="auto"/>
      </w:divBdr>
    </w:div>
    <w:div w:id="1867479784">
      <w:bodyDiv w:val="1"/>
      <w:marLeft w:val="0"/>
      <w:marRight w:val="0"/>
      <w:marTop w:val="0"/>
      <w:marBottom w:val="0"/>
      <w:divBdr>
        <w:top w:val="none" w:sz="0" w:space="0" w:color="auto"/>
        <w:left w:val="none" w:sz="0" w:space="0" w:color="auto"/>
        <w:bottom w:val="none" w:sz="0" w:space="0" w:color="auto"/>
        <w:right w:val="none" w:sz="0" w:space="0" w:color="auto"/>
      </w:divBdr>
    </w:div>
    <w:div w:id="1882665817">
      <w:bodyDiv w:val="1"/>
      <w:marLeft w:val="0"/>
      <w:marRight w:val="0"/>
      <w:marTop w:val="0"/>
      <w:marBottom w:val="0"/>
      <w:divBdr>
        <w:top w:val="none" w:sz="0" w:space="0" w:color="auto"/>
        <w:left w:val="none" w:sz="0" w:space="0" w:color="auto"/>
        <w:bottom w:val="none" w:sz="0" w:space="0" w:color="auto"/>
        <w:right w:val="none" w:sz="0" w:space="0" w:color="auto"/>
      </w:divBdr>
    </w:div>
    <w:div w:id="1889759198">
      <w:bodyDiv w:val="1"/>
      <w:marLeft w:val="0"/>
      <w:marRight w:val="0"/>
      <w:marTop w:val="0"/>
      <w:marBottom w:val="0"/>
      <w:divBdr>
        <w:top w:val="none" w:sz="0" w:space="0" w:color="auto"/>
        <w:left w:val="none" w:sz="0" w:space="0" w:color="auto"/>
        <w:bottom w:val="none" w:sz="0" w:space="0" w:color="auto"/>
        <w:right w:val="none" w:sz="0" w:space="0" w:color="auto"/>
      </w:divBdr>
    </w:div>
    <w:div w:id="1903905357">
      <w:bodyDiv w:val="1"/>
      <w:marLeft w:val="0"/>
      <w:marRight w:val="0"/>
      <w:marTop w:val="0"/>
      <w:marBottom w:val="0"/>
      <w:divBdr>
        <w:top w:val="none" w:sz="0" w:space="0" w:color="auto"/>
        <w:left w:val="none" w:sz="0" w:space="0" w:color="auto"/>
        <w:bottom w:val="none" w:sz="0" w:space="0" w:color="auto"/>
        <w:right w:val="none" w:sz="0" w:space="0" w:color="auto"/>
      </w:divBdr>
    </w:div>
    <w:div w:id="1927375913">
      <w:bodyDiv w:val="1"/>
      <w:marLeft w:val="0"/>
      <w:marRight w:val="0"/>
      <w:marTop w:val="0"/>
      <w:marBottom w:val="0"/>
      <w:divBdr>
        <w:top w:val="none" w:sz="0" w:space="0" w:color="auto"/>
        <w:left w:val="none" w:sz="0" w:space="0" w:color="auto"/>
        <w:bottom w:val="none" w:sz="0" w:space="0" w:color="auto"/>
        <w:right w:val="none" w:sz="0" w:space="0" w:color="auto"/>
      </w:divBdr>
    </w:div>
    <w:div w:id="1934360670">
      <w:bodyDiv w:val="1"/>
      <w:marLeft w:val="0"/>
      <w:marRight w:val="0"/>
      <w:marTop w:val="0"/>
      <w:marBottom w:val="0"/>
      <w:divBdr>
        <w:top w:val="none" w:sz="0" w:space="0" w:color="auto"/>
        <w:left w:val="none" w:sz="0" w:space="0" w:color="auto"/>
        <w:bottom w:val="none" w:sz="0" w:space="0" w:color="auto"/>
        <w:right w:val="none" w:sz="0" w:space="0" w:color="auto"/>
      </w:divBdr>
    </w:div>
    <w:div w:id="1963917446">
      <w:bodyDiv w:val="1"/>
      <w:marLeft w:val="0"/>
      <w:marRight w:val="0"/>
      <w:marTop w:val="0"/>
      <w:marBottom w:val="0"/>
      <w:divBdr>
        <w:top w:val="none" w:sz="0" w:space="0" w:color="auto"/>
        <w:left w:val="none" w:sz="0" w:space="0" w:color="auto"/>
        <w:bottom w:val="none" w:sz="0" w:space="0" w:color="auto"/>
        <w:right w:val="none" w:sz="0" w:space="0" w:color="auto"/>
      </w:divBdr>
    </w:div>
    <w:div w:id="1969970884">
      <w:bodyDiv w:val="1"/>
      <w:marLeft w:val="0"/>
      <w:marRight w:val="0"/>
      <w:marTop w:val="0"/>
      <w:marBottom w:val="0"/>
      <w:divBdr>
        <w:top w:val="none" w:sz="0" w:space="0" w:color="auto"/>
        <w:left w:val="none" w:sz="0" w:space="0" w:color="auto"/>
        <w:bottom w:val="none" w:sz="0" w:space="0" w:color="auto"/>
        <w:right w:val="none" w:sz="0" w:space="0" w:color="auto"/>
      </w:divBdr>
    </w:div>
    <w:div w:id="2067603088">
      <w:bodyDiv w:val="1"/>
      <w:marLeft w:val="0"/>
      <w:marRight w:val="0"/>
      <w:marTop w:val="0"/>
      <w:marBottom w:val="0"/>
      <w:divBdr>
        <w:top w:val="none" w:sz="0" w:space="0" w:color="auto"/>
        <w:left w:val="none" w:sz="0" w:space="0" w:color="auto"/>
        <w:bottom w:val="none" w:sz="0" w:space="0" w:color="auto"/>
        <w:right w:val="none" w:sz="0" w:space="0" w:color="auto"/>
      </w:divBdr>
    </w:div>
    <w:div w:id="2077242866">
      <w:bodyDiv w:val="1"/>
      <w:marLeft w:val="0"/>
      <w:marRight w:val="0"/>
      <w:marTop w:val="0"/>
      <w:marBottom w:val="0"/>
      <w:divBdr>
        <w:top w:val="none" w:sz="0" w:space="0" w:color="auto"/>
        <w:left w:val="none" w:sz="0" w:space="0" w:color="auto"/>
        <w:bottom w:val="none" w:sz="0" w:space="0" w:color="auto"/>
        <w:right w:val="none" w:sz="0" w:space="0" w:color="auto"/>
      </w:divBdr>
    </w:div>
    <w:div w:id="2082680942">
      <w:bodyDiv w:val="1"/>
      <w:marLeft w:val="0"/>
      <w:marRight w:val="0"/>
      <w:marTop w:val="0"/>
      <w:marBottom w:val="0"/>
      <w:divBdr>
        <w:top w:val="none" w:sz="0" w:space="0" w:color="auto"/>
        <w:left w:val="none" w:sz="0" w:space="0" w:color="auto"/>
        <w:bottom w:val="none" w:sz="0" w:space="0" w:color="auto"/>
        <w:right w:val="none" w:sz="0" w:space="0" w:color="auto"/>
      </w:divBdr>
    </w:div>
    <w:div w:id="2106026309">
      <w:bodyDiv w:val="1"/>
      <w:marLeft w:val="0"/>
      <w:marRight w:val="0"/>
      <w:marTop w:val="0"/>
      <w:marBottom w:val="0"/>
      <w:divBdr>
        <w:top w:val="none" w:sz="0" w:space="0" w:color="auto"/>
        <w:left w:val="none" w:sz="0" w:space="0" w:color="auto"/>
        <w:bottom w:val="none" w:sz="0" w:space="0" w:color="auto"/>
        <w:right w:val="none" w:sz="0" w:space="0" w:color="auto"/>
      </w:divBdr>
    </w:div>
    <w:div w:id="21121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biramad@yahoo.f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yasssko@yahoo.f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mailto:binette1000@yahoo.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mailto:%20sidihalass@yahoo.f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kgoundo@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mailto:soumatra56@yahoo.fr" TargetMode="External"/><Relationship Id="rId27" Type="http://schemas.openxmlformats.org/officeDocument/2006/relationships/header" Target="header6.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cuments\Classeu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5.8539821517579485E-2"/>
          <c:y val="5.1400554097404488E-2"/>
          <c:w val="0.79639196199928819"/>
          <c:h val="0.8326195683872849"/>
        </c:manualLayout>
      </c:layout>
      <c:barChart>
        <c:barDir val="col"/>
        <c:grouping val="clustered"/>
        <c:ser>
          <c:idx val="0"/>
          <c:order val="0"/>
          <c:dLbls>
            <c:dLbl>
              <c:idx val="2"/>
              <c:tx>
                <c:rich>
                  <a:bodyPr/>
                  <a:lstStyle/>
                  <a:p>
                    <a:pPr>
                      <a:defRPr>
                        <a:solidFill>
                          <a:sysClr val="windowText" lastClr="000000"/>
                        </a:solidFill>
                      </a:defRPr>
                    </a:pPr>
                    <a:r>
                      <a:rPr lang="en-US">
                        <a:solidFill>
                          <a:sysClr val="windowText" lastClr="000000"/>
                        </a:solidFill>
                      </a:rPr>
                      <a:t>427</a:t>
                    </a:r>
                    <a:endParaRPr lang="en-US">
                      <a:solidFill>
                        <a:srgbClr val="FF0000"/>
                      </a:solidFill>
                    </a:endParaRPr>
                  </a:p>
                </c:rich>
              </c:tx>
              <c:numFmt formatCode="#,##0.00" sourceLinked="0"/>
              <c:spPr>
                <a:noFill/>
                <a:ln>
                  <a:noFill/>
                </a:ln>
                <a:effectLst/>
              </c:spPr>
              <c:showVal val="1"/>
              <c:extLst>
                <c:ext xmlns:c15="http://schemas.microsoft.com/office/drawing/2012/chart" uri="{CE6537A1-D6FC-4f65-9D91-7224C49458BB}"/>
              </c:extLst>
            </c:dLbl>
            <c:spPr>
              <a:noFill/>
              <a:ln>
                <a:noFill/>
              </a:ln>
              <a:effectLst/>
            </c:spPr>
            <c:txPr>
              <a:bodyPr/>
              <a:lstStyle/>
              <a:p>
                <a:pPr>
                  <a:defRPr>
                    <a:solidFill>
                      <a:sysClr val="windowText" lastClr="000000"/>
                    </a:solidFill>
                  </a:defRPr>
                </a:pPr>
                <a:endParaRPr lang="fr-FR"/>
              </a:p>
            </c:txPr>
            <c:showVal val="1"/>
            <c:extLst>
              <c:ext xmlns:c15="http://schemas.microsoft.com/office/drawing/2012/chart" uri="{CE6537A1-D6FC-4f65-9D91-7224C49458BB}">
                <c15:showLeaderLines val="0"/>
              </c:ext>
            </c:extLst>
          </c:dLbls>
          <c:cat>
            <c:strRef>
              <c:f>Feuil1!$F$3:$F$5</c:f>
              <c:strCache>
                <c:ptCount val="3"/>
                <c:pt idx="0">
                  <c:v>Année 2004</c:v>
                </c:pt>
                <c:pt idx="1">
                  <c:v>Année 2013</c:v>
                </c:pt>
                <c:pt idx="2">
                  <c:v>Année 2014</c:v>
                </c:pt>
              </c:strCache>
            </c:strRef>
          </c:cat>
          <c:val>
            <c:numRef>
              <c:f>Feuil1!$G$3:$G$5</c:f>
              <c:numCache>
                <c:formatCode>General</c:formatCode>
                <c:ptCount val="3"/>
                <c:pt idx="0">
                  <c:v>165</c:v>
                </c:pt>
                <c:pt idx="1">
                  <c:v>363</c:v>
                </c:pt>
                <c:pt idx="2">
                  <c:v>424</c:v>
                </c:pt>
              </c:numCache>
            </c:numRef>
          </c:val>
        </c:ser>
        <c:axId val="66612608"/>
        <c:axId val="66622592"/>
      </c:barChart>
      <c:catAx>
        <c:axId val="66612608"/>
        <c:scaling>
          <c:orientation val="minMax"/>
        </c:scaling>
        <c:axPos val="b"/>
        <c:numFmt formatCode="General" sourceLinked="0"/>
        <c:tickLblPos val="nextTo"/>
        <c:crossAx val="66622592"/>
        <c:crosses val="autoZero"/>
        <c:auto val="1"/>
        <c:lblAlgn val="ctr"/>
        <c:lblOffset val="100"/>
      </c:catAx>
      <c:valAx>
        <c:axId val="66622592"/>
        <c:scaling>
          <c:orientation val="minMax"/>
        </c:scaling>
        <c:axPos val="l"/>
        <c:majorGridlines/>
        <c:numFmt formatCode="General" sourceLinked="1"/>
        <c:tickLblPos val="nextTo"/>
        <c:crossAx val="6661260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pieChart>
        <c:varyColors val="1"/>
        <c:ser>
          <c:idx val="0"/>
          <c:order val="0"/>
          <c:dLbls>
            <c:dLbl>
              <c:idx val="0"/>
              <c:showVal val="1"/>
            </c:dLbl>
            <c:dLbl>
              <c:idx val="1"/>
              <c:showVal val="1"/>
            </c:dLbl>
            <c:dLbl>
              <c:idx val="2"/>
              <c:showVal val="1"/>
            </c:dLbl>
            <c:delete val="1"/>
          </c:dLbls>
          <c:cat>
            <c:strRef>
              <c:f>Feuil1!$B$6:$B$8</c:f>
              <c:strCache>
                <c:ptCount val="3"/>
                <c:pt idx="0">
                  <c:v>Transferts issus des revenus nationaux de l'administration publique (alloués à la santé)</c:v>
                </c:pt>
                <c:pt idx="1">
                  <c:v>Autres revenus nationaux n.c.a.</c:v>
                </c:pt>
                <c:pt idx="2">
                  <c:v>Transferts directs étrangers</c:v>
                </c:pt>
              </c:strCache>
            </c:strRef>
          </c:cat>
          <c:val>
            <c:numRef>
              <c:f>Feuil1!$C$6:$C$8</c:f>
              <c:numCache>
                <c:formatCode>General</c:formatCode>
                <c:ptCount val="3"/>
                <c:pt idx="0">
                  <c:v>19.459999999999987</c:v>
                </c:pt>
                <c:pt idx="1">
                  <c:v>59.86</c:v>
                </c:pt>
                <c:pt idx="2">
                  <c:v>20.68</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plotArea>
      <c:layout/>
      <c:pieChart>
        <c:varyColors val="1"/>
        <c:ser>
          <c:idx val="0"/>
          <c:order val="0"/>
          <c:tx>
            <c:strRef>
              <c:f>Feuil4!$D$9</c:f>
              <c:strCache>
                <c:ptCount val="1"/>
                <c:pt idx="0">
                  <c:v>%</c:v>
                </c:pt>
              </c:strCache>
            </c:strRef>
          </c:tx>
          <c:dLbls>
            <c:showVal val="1"/>
            <c:showLeaderLines val="1"/>
          </c:dLbls>
          <c:cat>
            <c:strRef>
              <c:f>Feuil4!$C$10:$C$13</c:f>
              <c:strCache>
                <c:ptCount val="4"/>
                <c:pt idx="0">
                  <c:v>&lt; 5 ans</c:v>
                </c:pt>
                <c:pt idx="1">
                  <c:v>5-14 ans</c:v>
                </c:pt>
                <c:pt idx="2">
                  <c:v>15-49 ans</c:v>
                </c:pt>
                <c:pt idx="3">
                  <c:v>50 ans et plus</c:v>
                </c:pt>
              </c:strCache>
            </c:strRef>
          </c:cat>
          <c:val>
            <c:numRef>
              <c:f>Feuil4!$D$10:$D$13</c:f>
              <c:numCache>
                <c:formatCode>0.00</c:formatCode>
                <c:ptCount val="4"/>
                <c:pt idx="0">
                  <c:v>38.760000000000012</c:v>
                </c:pt>
                <c:pt idx="1">
                  <c:v>24.47</c:v>
                </c:pt>
                <c:pt idx="2">
                  <c:v>31.87</c:v>
                </c:pt>
                <c:pt idx="3">
                  <c:v>4.8899999999999997</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53A11-594D-410D-B6A3-6C713A07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24812</Words>
  <Characters>136472</Characters>
  <Application>Microsoft Office Word</Application>
  <DocSecurity>0</DocSecurity>
  <Lines>1137</Lines>
  <Paragraphs>321</Paragraphs>
  <ScaleCrop>false</ScaleCrop>
  <HeadingPairs>
    <vt:vector size="2" baseType="variant">
      <vt:variant>
        <vt:lpstr>Titre</vt:lpstr>
      </vt:variant>
      <vt:variant>
        <vt:i4>1</vt:i4>
      </vt:variant>
    </vt:vector>
  </HeadingPairs>
  <TitlesOfParts>
    <vt:vector size="1" baseType="lpstr">
      <vt:lpstr>Comptes de la santé, édition 2013</vt:lpstr>
    </vt:vector>
  </TitlesOfParts>
  <Company/>
  <LinksUpToDate>false</LinksUpToDate>
  <CharactersWithSpaces>160963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Comptes de la santé, édition 2013</dc:title>
  <dc:creator>SIMON</dc:creator>
  <cp:lastModifiedBy>NIAKALING</cp:lastModifiedBy>
  <cp:revision>2</cp:revision>
  <cp:lastPrinted>2013-11-14T16:44:00Z</cp:lastPrinted>
  <dcterms:created xsi:type="dcterms:W3CDTF">2018-01-26T11:15:00Z</dcterms:created>
  <dcterms:modified xsi:type="dcterms:W3CDTF">2018-01-26T11:15:00Z</dcterms:modified>
</cp:coreProperties>
</file>