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410"/>
        <w:tblW w:w="9064" w:type="dxa"/>
        <w:tblLook w:val="04A0" w:firstRow="1" w:lastRow="0" w:firstColumn="1" w:lastColumn="0" w:noHBand="0" w:noVBand="1"/>
      </w:tblPr>
      <w:tblGrid>
        <w:gridCol w:w="3652"/>
        <w:gridCol w:w="2226"/>
        <w:gridCol w:w="3186"/>
      </w:tblGrid>
      <w:tr w:rsidR="00520DFB" w:rsidRPr="00520DFB" w:rsidTr="008B2B6B">
        <w:trPr>
          <w:trHeight w:val="390"/>
        </w:trPr>
        <w:tc>
          <w:tcPr>
            <w:tcW w:w="3652" w:type="dxa"/>
          </w:tcPr>
          <w:p w:rsidR="00520DFB" w:rsidRPr="00520DFB" w:rsidRDefault="00520DFB" w:rsidP="00D951CF">
            <w:pPr>
              <w:spacing w:after="0" w:line="240" w:lineRule="auto"/>
              <w:rPr>
                <w:rFonts w:ascii="Times New Roman" w:hAnsi="Times New Roman" w:cs="Times New Roman"/>
                <w:b/>
                <w:w w:val="90"/>
              </w:rPr>
            </w:pPr>
            <w:r w:rsidRPr="00520DFB">
              <w:rPr>
                <w:rFonts w:ascii="Times New Roman" w:hAnsi="Times New Roman" w:cs="Times New Roman"/>
                <w:b/>
                <w:w w:val="90"/>
              </w:rPr>
              <w:t xml:space="preserve">MINISTERE DE LA SANTE ET DE L’HYGIENE PUBLIQUE </w:t>
            </w:r>
          </w:p>
        </w:tc>
        <w:tc>
          <w:tcPr>
            <w:tcW w:w="2226" w:type="dxa"/>
            <w:vMerge w:val="restart"/>
          </w:tcPr>
          <w:p w:rsidR="00520DFB" w:rsidRPr="00520DFB" w:rsidRDefault="00520DFB" w:rsidP="008B2B6B">
            <w:pPr>
              <w:spacing w:after="0" w:line="240" w:lineRule="auto"/>
              <w:rPr>
                <w:rFonts w:ascii="Times New Roman" w:hAnsi="Times New Roman" w:cs="Times New Roman"/>
                <w:b/>
                <w:w w:val="90"/>
              </w:rPr>
            </w:pPr>
          </w:p>
        </w:tc>
        <w:tc>
          <w:tcPr>
            <w:tcW w:w="3186" w:type="dxa"/>
            <w:vMerge w:val="restart"/>
          </w:tcPr>
          <w:p w:rsidR="00520DFB" w:rsidRPr="00520DFB" w:rsidRDefault="00520DFB" w:rsidP="008B2B6B">
            <w:pPr>
              <w:spacing w:after="0" w:line="240" w:lineRule="auto"/>
              <w:jc w:val="center"/>
              <w:rPr>
                <w:rFonts w:ascii="Times New Roman" w:hAnsi="Times New Roman" w:cs="Times New Roman"/>
                <w:bCs/>
                <w:snapToGrid w:val="0"/>
                <w:w w:val="90"/>
              </w:rPr>
            </w:pPr>
            <w:r w:rsidRPr="00520DFB">
              <w:rPr>
                <w:rFonts w:ascii="Times New Roman" w:hAnsi="Times New Roman" w:cs="Times New Roman"/>
                <w:b/>
                <w:w w:val="90"/>
              </w:rPr>
              <w:t>REPUBLIQUE DU MALI</w:t>
            </w:r>
          </w:p>
          <w:p w:rsidR="00520DFB" w:rsidRPr="00520DFB" w:rsidRDefault="00520DFB" w:rsidP="008B2B6B">
            <w:pPr>
              <w:spacing w:after="0" w:line="240" w:lineRule="auto"/>
              <w:jc w:val="center"/>
              <w:rPr>
                <w:rFonts w:ascii="Times New Roman" w:hAnsi="Times New Roman" w:cs="Times New Roman"/>
                <w:b/>
                <w:w w:val="90"/>
              </w:rPr>
            </w:pPr>
            <w:r w:rsidRPr="00520DFB">
              <w:rPr>
                <w:rFonts w:ascii="Times New Roman" w:hAnsi="Times New Roman" w:cs="Times New Roman"/>
                <w:b/>
                <w:w w:val="90"/>
              </w:rPr>
              <w:t>Un Peuple - Un But - Une Foi</w:t>
            </w:r>
          </w:p>
        </w:tc>
      </w:tr>
      <w:tr w:rsidR="00520DFB" w:rsidRPr="00520DFB" w:rsidTr="008B2B6B">
        <w:trPr>
          <w:trHeight w:val="300"/>
        </w:trPr>
        <w:tc>
          <w:tcPr>
            <w:tcW w:w="3652" w:type="dxa"/>
          </w:tcPr>
          <w:p w:rsidR="00520DFB" w:rsidRPr="00520DFB" w:rsidRDefault="00520DFB" w:rsidP="008B2B6B">
            <w:pPr>
              <w:spacing w:after="0" w:line="240" w:lineRule="auto"/>
              <w:jc w:val="center"/>
              <w:rPr>
                <w:rFonts w:ascii="Times New Roman" w:hAnsi="Times New Roman" w:cs="Times New Roman"/>
                <w:b/>
                <w:w w:val="90"/>
              </w:rPr>
            </w:pPr>
            <w:r w:rsidRPr="00520DFB">
              <w:rPr>
                <w:rFonts w:ascii="Times New Roman" w:hAnsi="Times New Roman" w:cs="Times New Roman"/>
                <w:b/>
                <w:w w:val="90"/>
              </w:rPr>
              <w:t>***********</w:t>
            </w:r>
          </w:p>
        </w:tc>
        <w:tc>
          <w:tcPr>
            <w:tcW w:w="2226" w:type="dxa"/>
            <w:vMerge/>
          </w:tcPr>
          <w:p w:rsidR="00520DFB" w:rsidRPr="00520DFB" w:rsidRDefault="00520DFB" w:rsidP="008B2B6B">
            <w:pPr>
              <w:spacing w:after="0" w:line="240" w:lineRule="auto"/>
              <w:rPr>
                <w:rFonts w:ascii="Times New Roman" w:hAnsi="Times New Roman" w:cs="Times New Roman"/>
                <w:b/>
                <w:w w:val="90"/>
              </w:rPr>
            </w:pPr>
          </w:p>
        </w:tc>
        <w:tc>
          <w:tcPr>
            <w:tcW w:w="3186" w:type="dxa"/>
            <w:vMerge/>
          </w:tcPr>
          <w:p w:rsidR="00520DFB" w:rsidRPr="00520DFB" w:rsidRDefault="00520DFB" w:rsidP="008B2B6B">
            <w:pPr>
              <w:spacing w:after="0" w:line="240" w:lineRule="auto"/>
              <w:jc w:val="center"/>
              <w:rPr>
                <w:rFonts w:ascii="Times New Roman" w:hAnsi="Times New Roman" w:cs="Times New Roman"/>
                <w:b/>
                <w:w w:val="90"/>
              </w:rPr>
            </w:pPr>
          </w:p>
        </w:tc>
      </w:tr>
      <w:tr w:rsidR="00520DFB" w:rsidRPr="00520DFB" w:rsidTr="008B2B6B">
        <w:trPr>
          <w:trHeight w:val="156"/>
        </w:trPr>
        <w:tc>
          <w:tcPr>
            <w:tcW w:w="3652" w:type="dxa"/>
          </w:tcPr>
          <w:p w:rsidR="00520DFB" w:rsidRPr="00520DFB" w:rsidRDefault="00520DFB" w:rsidP="008B2B6B">
            <w:pPr>
              <w:spacing w:after="0" w:line="240" w:lineRule="auto"/>
              <w:rPr>
                <w:rFonts w:ascii="Times New Roman" w:hAnsi="Times New Roman" w:cs="Times New Roman"/>
                <w:b/>
                <w:w w:val="90"/>
              </w:rPr>
            </w:pPr>
            <w:r w:rsidRPr="00520DFB">
              <w:rPr>
                <w:rFonts w:ascii="Times New Roman" w:hAnsi="Times New Roman" w:cs="Times New Roman"/>
                <w:b/>
                <w:w w:val="90"/>
              </w:rPr>
              <w:t xml:space="preserve">SECRETARIAT GENERAL </w:t>
            </w:r>
          </w:p>
          <w:p w:rsidR="00520DFB" w:rsidRPr="00520DFB" w:rsidRDefault="00520DFB" w:rsidP="008B2B6B">
            <w:pPr>
              <w:spacing w:after="0" w:line="240" w:lineRule="auto"/>
              <w:rPr>
                <w:rFonts w:ascii="Times New Roman" w:hAnsi="Times New Roman" w:cs="Times New Roman"/>
                <w:b/>
                <w:w w:val="90"/>
              </w:rPr>
            </w:pPr>
          </w:p>
          <w:p w:rsidR="00520DFB" w:rsidRPr="00520DFB" w:rsidRDefault="00520DFB" w:rsidP="008B2B6B">
            <w:pPr>
              <w:spacing w:after="0" w:line="240" w:lineRule="auto"/>
              <w:rPr>
                <w:rFonts w:ascii="Times New Roman" w:hAnsi="Times New Roman" w:cs="Times New Roman"/>
                <w:b/>
                <w:w w:val="90"/>
              </w:rPr>
            </w:pPr>
            <w:r w:rsidRPr="00520DFB">
              <w:rPr>
                <w:rFonts w:ascii="Times New Roman" w:hAnsi="Times New Roman" w:cs="Times New Roman"/>
                <w:b/>
                <w:w w:val="90"/>
              </w:rPr>
              <w:t xml:space="preserve">RFA </w:t>
            </w:r>
            <w:proofErr w:type="spellStart"/>
            <w:r w:rsidRPr="00520DFB">
              <w:rPr>
                <w:rFonts w:ascii="Times New Roman" w:hAnsi="Times New Roman" w:cs="Times New Roman"/>
                <w:b/>
                <w:w w:val="90"/>
              </w:rPr>
              <w:t>Title</w:t>
            </w:r>
            <w:proofErr w:type="spellEnd"/>
            <w:r w:rsidRPr="00520DFB">
              <w:rPr>
                <w:rFonts w:ascii="Times New Roman" w:hAnsi="Times New Roman" w:cs="Times New Roman"/>
                <w:b/>
                <w:w w:val="90"/>
              </w:rPr>
              <w:t>: CDC-RFA-GH15-1627</w:t>
            </w:r>
          </w:p>
        </w:tc>
        <w:tc>
          <w:tcPr>
            <w:tcW w:w="5412" w:type="dxa"/>
            <w:gridSpan w:val="2"/>
            <w:vAlign w:val="center"/>
          </w:tcPr>
          <w:p w:rsidR="00520DFB" w:rsidRPr="00520DFB" w:rsidRDefault="00520DFB" w:rsidP="008B2B6B">
            <w:pPr>
              <w:spacing w:after="0" w:line="240" w:lineRule="auto"/>
              <w:rPr>
                <w:rFonts w:ascii="Times New Roman" w:hAnsi="Times New Roman" w:cs="Times New Roman"/>
                <w:b/>
                <w:w w:val="90"/>
                <w:sz w:val="48"/>
                <w:szCs w:val="40"/>
              </w:rPr>
            </w:pPr>
          </w:p>
        </w:tc>
      </w:tr>
    </w:tbl>
    <w:p w:rsidR="00520DFB" w:rsidRPr="009D7154" w:rsidRDefault="00520DFB" w:rsidP="00520DFB">
      <w:pPr>
        <w:spacing w:before="240"/>
        <w:jc w:val="center"/>
        <w:rPr>
          <w:rFonts w:cs="Times New Roman"/>
          <w:b/>
          <w:w w:val="90"/>
          <w:sz w:val="26"/>
          <w:szCs w:val="26"/>
        </w:rPr>
      </w:pPr>
      <w:r w:rsidRPr="009D7154">
        <w:rPr>
          <w:rFonts w:cs="Times New Roman"/>
          <w:b/>
          <w:w w:val="90"/>
          <w:sz w:val="44"/>
          <w:u w:val="single"/>
        </w:rPr>
        <w:t>Termes de références</w:t>
      </w:r>
    </w:p>
    <w:p w:rsidR="00484258" w:rsidRPr="009D7154" w:rsidRDefault="00484258" w:rsidP="00520DFB">
      <w:pPr>
        <w:numPr>
          <w:ilvl w:val="0"/>
          <w:numId w:val="6"/>
        </w:numPr>
        <w:spacing w:after="0"/>
        <w:jc w:val="both"/>
        <w:rPr>
          <w:rFonts w:cs="Times New Roman"/>
          <w:b/>
          <w:w w:val="90"/>
        </w:rPr>
      </w:pPr>
      <w:r w:rsidRPr="009D7154">
        <w:rPr>
          <w:rFonts w:cs="Times New Roman"/>
          <w:b/>
          <w:w w:val="90"/>
        </w:rPr>
        <w:t>Contexte</w:t>
      </w:r>
    </w:p>
    <w:p w:rsidR="00484258" w:rsidRPr="009D7154" w:rsidRDefault="00484258" w:rsidP="00520DFB">
      <w:pPr>
        <w:spacing w:after="0"/>
        <w:jc w:val="both"/>
        <w:rPr>
          <w:rFonts w:cs="Times New Roman"/>
          <w:w w:val="90"/>
        </w:rPr>
      </w:pPr>
      <w:r w:rsidRPr="009D7154">
        <w:rPr>
          <w:rFonts w:cs="Times New Roman"/>
          <w:w w:val="90"/>
        </w:rPr>
        <w:t>La Stratégie Régionale de Surveillance Intégrée de la maladie  adoptée par la 48</w:t>
      </w:r>
      <w:r w:rsidRPr="009D7154">
        <w:rPr>
          <w:rFonts w:cs="Times New Roman"/>
          <w:w w:val="90"/>
          <w:vertAlign w:val="superscript"/>
        </w:rPr>
        <w:t>ème</w:t>
      </w:r>
      <w:r w:rsidRPr="009D7154">
        <w:rPr>
          <w:rFonts w:cs="Times New Roman"/>
          <w:w w:val="90"/>
        </w:rPr>
        <w:t>Assemblée session du comité régional de l’OMS pour l’Afrique (AFR/RC48/42) est une approche recommandée pour renforcer  les systèmes nationaux  de surveillance  des maladies transmissibles. La stratégie appelle à l’intégration et la coordination de toutes les activités de surveillance.</w:t>
      </w:r>
    </w:p>
    <w:p w:rsidR="00484258" w:rsidRPr="009D7154" w:rsidRDefault="00484258" w:rsidP="00520DFB">
      <w:pPr>
        <w:spacing w:after="0"/>
        <w:jc w:val="both"/>
        <w:rPr>
          <w:rFonts w:cs="Times New Roman"/>
          <w:w w:val="90"/>
        </w:rPr>
      </w:pPr>
      <w:r w:rsidRPr="009D7154">
        <w:rPr>
          <w:rFonts w:cs="Times New Roman"/>
          <w:w w:val="90"/>
        </w:rPr>
        <w:t xml:space="preserve">A cet effet, le premier guide technique de surveillance intégré de la maladie et la riposte (SIMR) a été élaboré et finalisé en juillet 2001, à l’issue de l’adaptation d’un guide générique de l’OMS. Ce guide mettait l’accent sur la surveillance de 19 maladies. </w:t>
      </w:r>
    </w:p>
    <w:p w:rsidR="00484258" w:rsidRPr="009D7154" w:rsidRDefault="00484258" w:rsidP="00520DFB">
      <w:pPr>
        <w:spacing w:after="0"/>
        <w:jc w:val="both"/>
        <w:rPr>
          <w:rFonts w:cs="Times New Roman"/>
          <w:w w:val="90"/>
        </w:rPr>
      </w:pPr>
      <w:r w:rsidRPr="009D7154">
        <w:rPr>
          <w:rFonts w:cs="Times New Roman"/>
          <w:w w:val="90"/>
        </w:rPr>
        <w:t>Ainsi, pour assurer la mise en œuvre de la SIMR, des formations du personnel de santé ont été organisées en cascades du niveau central jusqu’au niveau périphérique dans toutes les 8 régions du Mali et le district de Bamako  entre 2003 et 2004.</w:t>
      </w:r>
    </w:p>
    <w:p w:rsidR="00484258" w:rsidRPr="009D7154" w:rsidRDefault="00484258" w:rsidP="00520DFB">
      <w:pPr>
        <w:spacing w:after="0"/>
        <w:jc w:val="both"/>
        <w:rPr>
          <w:rFonts w:cs="Times New Roman"/>
          <w:w w:val="90"/>
        </w:rPr>
      </w:pPr>
      <w:r w:rsidRPr="009D7154">
        <w:rPr>
          <w:rFonts w:cs="Times New Roman"/>
          <w:w w:val="90"/>
        </w:rPr>
        <w:t xml:space="preserve">Ensuite, un second guide de SIMR qui mettait l’accent sur une quarantaine de maladies transmissibles et non transmissibles, les évènements de santé publique de portée internationale et le règlement sanitaire international, le RSI (2005) fut adapté et adopté en 2008. Ce guide prenait en compte les nouvelles maladies  émergentes (syndrome respiratoire Aigu Sévère, Grippe Aviaire, Fièvres Hémorragiques Virales, etc.), des maladies non transmissibles (Hypertension artérielle, Diabète, </w:t>
      </w:r>
      <w:proofErr w:type="spellStart"/>
      <w:r w:rsidRPr="009D7154">
        <w:rPr>
          <w:rFonts w:cs="Times New Roman"/>
          <w:w w:val="90"/>
        </w:rPr>
        <w:t>Noma</w:t>
      </w:r>
      <w:proofErr w:type="spellEnd"/>
      <w:r w:rsidRPr="009D7154">
        <w:rPr>
          <w:rFonts w:cs="Times New Roman"/>
          <w:w w:val="90"/>
        </w:rPr>
        <w:t xml:space="preserve">, etc.) et des recommandations du Règlement Sanitaire International (2005) en vigueur depuis le 15 juin 2007. C’est en fin 2010, qu’avec l’appui de notre partenaire du PASEI2, que ce guide a été reproduit. </w:t>
      </w:r>
    </w:p>
    <w:p w:rsidR="00484258" w:rsidRPr="009D7154" w:rsidRDefault="00484258" w:rsidP="00520DFB">
      <w:pPr>
        <w:spacing w:after="0"/>
        <w:jc w:val="both"/>
        <w:rPr>
          <w:rFonts w:cs="Times New Roman"/>
          <w:w w:val="90"/>
        </w:rPr>
      </w:pPr>
      <w:r w:rsidRPr="009D7154">
        <w:rPr>
          <w:rFonts w:cs="Times New Roman"/>
          <w:w w:val="90"/>
        </w:rPr>
        <w:t>Un troisième guide générique mis à jour par l’OMS en 2010 intégrant de nouvelles dispositions vient de faire l’objet d’une adaptation et d’une validation en 2012. Ainsi,  une formation des formateurs sur le nouveau guide technique national qui a regroupé trois cadres par région (chefs divisions santé, chefs de divisions hygiène et chargés de surveillance épidémiologique) et certains cadres nationaux a été organisée.</w:t>
      </w:r>
    </w:p>
    <w:p w:rsidR="00484258" w:rsidRPr="009D7154" w:rsidRDefault="00484258" w:rsidP="00520DFB">
      <w:pPr>
        <w:spacing w:after="0"/>
        <w:jc w:val="both"/>
        <w:rPr>
          <w:rFonts w:cs="Times New Roman"/>
          <w:w w:val="90"/>
        </w:rPr>
      </w:pPr>
      <w:r w:rsidRPr="009D7154">
        <w:rPr>
          <w:rFonts w:cs="Times New Roman"/>
          <w:w w:val="90"/>
        </w:rPr>
        <w:t xml:space="preserve">Pour la mise en œuvre correcte des nouvelles approches de la surveillance intégrée de la maladie et la riposte, une formation des formateurs régionaux a été organisée à cet effet. </w:t>
      </w:r>
    </w:p>
    <w:p w:rsidR="00484258" w:rsidRPr="009D7154" w:rsidRDefault="00484258" w:rsidP="00520DFB">
      <w:pPr>
        <w:spacing w:after="0"/>
        <w:jc w:val="both"/>
        <w:rPr>
          <w:rFonts w:cs="Times New Roman"/>
          <w:w w:val="90"/>
        </w:rPr>
      </w:pPr>
      <w:r w:rsidRPr="009D7154">
        <w:rPr>
          <w:rFonts w:cs="Times New Roman"/>
          <w:w w:val="90"/>
        </w:rPr>
        <w:t>La révision des modules de formation basés essentiellement sur des cas et des exercices pratiques devant appuyer le guide technique dans la formation sur la SIMR demeure nécessaire. Le but est de donner à ce personnel de santé des concepts de base sur l’épidémiologie, l’acquisition de connaissances à travers la maîtrise de directives techniques  ainsi que la résolution de problèmes à travers des études de cas inspirés de situations réelles de terrain.</w:t>
      </w:r>
    </w:p>
    <w:p w:rsidR="00553DDA" w:rsidRPr="009D7154" w:rsidRDefault="00553DDA" w:rsidP="00520DFB">
      <w:pPr>
        <w:spacing w:after="0"/>
        <w:jc w:val="both"/>
        <w:rPr>
          <w:rFonts w:cs="Times New Roman"/>
          <w:w w:val="90"/>
        </w:rPr>
      </w:pPr>
      <w:r w:rsidRPr="009D7154">
        <w:rPr>
          <w:rFonts w:cs="Times New Roman"/>
          <w:w w:val="90"/>
        </w:rPr>
        <w:t xml:space="preserve">La prévention et la lutte contre les fièvres hémorragiques virales sont devenues une priorité avec la survenue de l’épidémie de la maladie à virus Ebola en Afrique de l’Ouest. </w:t>
      </w:r>
    </w:p>
    <w:p w:rsidR="00C46B0A" w:rsidRPr="009D7154" w:rsidRDefault="00553DDA" w:rsidP="00520DFB">
      <w:pPr>
        <w:spacing w:after="0"/>
        <w:jc w:val="both"/>
        <w:rPr>
          <w:rFonts w:cs="Times New Roman"/>
          <w:w w:val="90"/>
        </w:rPr>
      </w:pPr>
      <w:r w:rsidRPr="009D7154">
        <w:rPr>
          <w:rFonts w:cs="Times New Roman"/>
          <w:w w:val="90"/>
        </w:rPr>
        <w:t xml:space="preserve">Ces documents n’ont fait l’objet que de diffusions partielles au niveau du </w:t>
      </w:r>
      <w:r w:rsidR="006A7CE3" w:rsidRPr="009D7154">
        <w:rPr>
          <w:rFonts w:cs="Times New Roman"/>
          <w:w w:val="90"/>
        </w:rPr>
        <w:t>pays,</w:t>
      </w:r>
      <w:r w:rsidRPr="009D7154">
        <w:rPr>
          <w:rFonts w:cs="Times New Roman"/>
          <w:w w:val="90"/>
        </w:rPr>
        <w:t xml:space="preserve"> d’où la nécessité de faire des formations sur la SIMR en cascades et à large échelle</w:t>
      </w:r>
      <w:proofErr w:type="gramStart"/>
      <w:r w:rsidRPr="009D7154">
        <w:rPr>
          <w:rFonts w:cs="Times New Roman"/>
          <w:w w:val="90"/>
        </w:rPr>
        <w:t>..</w:t>
      </w:r>
      <w:proofErr w:type="gramEnd"/>
    </w:p>
    <w:p w:rsidR="00BC2CC8" w:rsidRPr="009D7154" w:rsidRDefault="00BC2CC8" w:rsidP="00520DFB">
      <w:pPr>
        <w:pStyle w:val="Paragraphedeliste"/>
        <w:numPr>
          <w:ilvl w:val="0"/>
          <w:numId w:val="4"/>
        </w:numPr>
        <w:spacing w:after="0"/>
        <w:jc w:val="both"/>
        <w:rPr>
          <w:rFonts w:asciiTheme="minorHAnsi" w:eastAsia="Times New Roman" w:hAnsiTheme="minorHAnsi"/>
          <w:b/>
          <w:bCs/>
          <w:w w:val="90"/>
        </w:rPr>
      </w:pPr>
      <w:r w:rsidRPr="009D7154">
        <w:rPr>
          <w:rFonts w:asciiTheme="minorHAnsi" w:eastAsia="Times New Roman" w:hAnsiTheme="minorHAnsi"/>
          <w:b/>
          <w:bCs/>
          <w:w w:val="90"/>
        </w:rPr>
        <w:t>Objectifs</w:t>
      </w:r>
    </w:p>
    <w:p w:rsidR="00BC2CC8" w:rsidRPr="009D7154" w:rsidRDefault="00BC2CC8" w:rsidP="00520DFB">
      <w:pPr>
        <w:spacing w:after="0"/>
        <w:jc w:val="both"/>
        <w:rPr>
          <w:rFonts w:eastAsia="Times New Roman" w:cs="Times New Roman"/>
          <w:b/>
          <w:bCs/>
          <w:w w:val="90"/>
        </w:rPr>
      </w:pPr>
      <w:r w:rsidRPr="009D7154">
        <w:rPr>
          <w:rFonts w:eastAsia="Times New Roman" w:cs="Times New Roman"/>
          <w:b/>
          <w:bCs/>
          <w:w w:val="90"/>
        </w:rPr>
        <w:t>Objectif général </w:t>
      </w:r>
    </w:p>
    <w:p w:rsidR="00BC2CC8" w:rsidRPr="009D7154" w:rsidRDefault="00BC2CC8" w:rsidP="00520DFB">
      <w:pPr>
        <w:spacing w:after="0"/>
        <w:contextualSpacing/>
        <w:jc w:val="both"/>
        <w:rPr>
          <w:rFonts w:eastAsia="Times New Roman" w:cs="Times New Roman"/>
          <w:w w:val="90"/>
        </w:rPr>
      </w:pPr>
      <w:r w:rsidRPr="009D7154">
        <w:rPr>
          <w:rFonts w:eastAsia="Times New Roman" w:cs="Times New Roman"/>
          <w:w w:val="90"/>
        </w:rPr>
        <w:t>Renforcer les capacités des personnels de santé du niveau régional et district en vue de mettre en œuvre les activités de surveillance et de contrôle des maladies.</w:t>
      </w:r>
    </w:p>
    <w:p w:rsidR="00BC2CC8" w:rsidRPr="009D7154" w:rsidRDefault="00BC2CC8" w:rsidP="00520DFB">
      <w:pPr>
        <w:spacing w:after="0"/>
        <w:contextualSpacing/>
        <w:jc w:val="both"/>
        <w:rPr>
          <w:rFonts w:eastAsia="Times New Roman" w:cs="Times New Roman"/>
          <w:b/>
          <w:bCs/>
          <w:w w:val="90"/>
        </w:rPr>
      </w:pPr>
      <w:r w:rsidRPr="009D7154">
        <w:rPr>
          <w:rFonts w:eastAsia="Times New Roman" w:cs="Times New Roman"/>
          <w:b/>
          <w:bCs/>
          <w:w w:val="90"/>
        </w:rPr>
        <w:t>Objectifs spécifiques </w:t>
      </w:r>
    </w:p>
    <w:p w:rsidR="00BC2CC8" w:rsidRPr="009D7154" w:rsidRDefault="00BC2CC8" w:rsidP="00520DFB">
      <w:pPr>
        <w:pStyle w:val="Corpsdetexte3"/>
        <w:keepNext/>
        <w:numPr>
          <w:ilvl w:val="0"/>
          <w:numId w:val="5"/>
        </w:numPr>
        <w:spacing w:after="0"/>
        <w:jc w:val="both"/>
        <w:rPr>
          <w:rFonts w:asciiTheme="minorHAnsi" w:hAnsiTheme="minorHAnsi"/>
          <w:w w:val="90"/>
          <w:sz w:val="22"/>
          <w:szCs w:val="22"/>
        </w:rPr>
      </w:pPr>
      <w:r w:rsidRPr="009D7154">
        <w:rPr>
          <w:rFonts w:asciiTheme="minorHAnsi" w:hAnsiTheme="minorHAnsi"/>
          <w:w w:val="90"/>
          <w:sz w:val="22"/>
          <w:szCs w:val="22"/>
        </w:rPr>
        <w:lastRenderedPageBreak/>
        <w:t xml:space="preserve">Identifier les cas et les événements d’importance en santé publique </w:t>
      </w:r>
    </w:p>
    <w:p w:rsidR="00BC2CC8" w:rsidRPr="009D7154" w:rsidRDefault="00BC2CC8" w:rsidP="00520DFB">
      <w:pPr>
        <w:pStyle w:val="Paragraphedeliste"/>
        <w:numPr>
          <w:ilvl w:val="0"/>
          <w:numId w:val="5"/>
        </w:numPr>
        <w:spacing w:after="0"/>
        <w:jc w:val="both"/>
        <w:rPr>
          <w:rFonts w:asciiTheme="minorHAnsi" w:hAnsiTheme="minorHAnsi"/>
          <w:w w:val="90"/>
        </w:rPr>
      </w:pPr>
      <w:r w:rsidRPr="009D7154">
        <w:rPr>
          <w:rFonts w:asciiTheme="minorHAnsi" w:hAnsiTheme="minorHAnsi"/>
          <w:w w:val="90"/>
        </w:rPr>
        <w:t>Notifier les cas suspects ou les affections ou événements importants pour la santé publique ;</w:t>
      </w:r>
    </w:p>
    <w:p w:rsidR="00BC2CC8" w:rsidRPr="009D7154" w:rsidRDefault="00BC2CC8" w:rsidP="00520DFB">
      <w:pPr>
        <w:pStyle w:val="Paragraphedeliste"/>
        <w:numPr>
          <w:ilvl w:val="0"/>
          <w:numId w:val="5"/>
        </w:numPr>
        <w:spacing w:after="0"/>
        <w:jc w:val="both"/>
        <w:rPr>
          <w:rFonts w:asciiTheme="minorHAnsi" w:eastAsia="Times New Roman" w:hAnsiTheme="minorHAnsi"/>
          <w:w w:val="90"/>
        </w:rPr>
      </w:pPr>
      <w:r w:rsidRPr="009D7154">
        <w:rPr>
          <w:rFonts w:asciiTheme="minorHAnsi" w:eastAsia="Times New Roman" w:hAnsiTheme="minorHAnsi"/>
          <w:w w:val="90"/>
        </w:rPr>
        <w:t>Analyser et interpréter les données sur les maladies et les évènements prioritaires;</w:t>
      </w:r>
    </w:p>
    <w:p w:rsidR="00BC2CC8" w:rsidRPr="009D7154" w:rsidRDefault="00BC2CC8" w:rsidP="00520DFB">
      <w:pPr>
        <w:pStyle w:val="Paragraphedeliste"/>
        <w:numPr>
          <w:ilvl w:val="0"/>
          <w:numId w:val="5"/>
        </w:numPr>
        <w:spacing w:after="0"/>
        <w:jc w:val="both"/>
        <w:rPr>
          <w:rFonts w:asciiTheme="minorHAnsi" w:eastAsia="Times New Roman" w:hAnsiTheme="minorHAnsi"/>
          <w:w w:val="90"/>
        </w:rPr>
      </w:pPr>
      <w:r w:rsidRPr="009D7154">
        <w:rPr>
          <w:rFonts w:asciiTheme="minorHAnsi" w:eastAsia="Times New Roman" w:hAnsiTheme="minorHAnsi"/>
          <w:w w:val="90"/>
        </w:rPr>
        <w:t>Investiguer et confirmer les cas suspects, les épidémies ou les événements;</w:t>
      </w:r>
    </w:p>
    <w:p w:rsidR="00BC2CC8" w:rsidRPr="009D7154" w:rsidRDefault="00BC2CC8" w:rsidP="00520DFB">
      <w:pPr>
        <w:pStyle w:val="Paragraphedeliste"/>
        <w:numPr>
          <w:ilvl w:val="0"/>
          <w:numId w:val="5"/>
        </w:numPr>
        <w:spacing w:after="0"/>
        <w:jc w:val="both"/>
        <w:rPr>
          <w:rFonts w:asciiTheme="minorHAnsi" w:hAnsiTheme="minorHAnsi"/>
          <w:bCs/>
          <w:w w:val="90"/>
          <w:lang w:val="fr-CA"/>
        </w:rPr>
      </w:pPr>
      <w:r w:rsidRPr="009D7154">
        <w:rPr>
          <w:rFonts w:asciiTheme="minorHAnsi" w:eastAsia="Times New Roman" w:hAnsiTheme="minorHAnsi"/>
          <w:bCs/>
          <w:w w:val="90"/>
        </w:rPr>
        <w:t>Se préparer à répondre aux épidémies et événements importants pour la santé publique;</w:t>
      </w:r>
    </w:p>
    <w:p w:rsidR="00103122" w:rsidRPr="009D7154" w:rsidRDefault="00103122" w:rsidP="00520DFB">
      <w:pPr>
        <w:keepNext/>
        <w:numPr>
          <w:ilvl w:val="0"/>
          <w:numId w:val="5"/>
        </w:numPr>
        <w:spacing w:after="0"/>
        <w:jc w:val="both"/>
        <w:rPr>
          <w:rFonts w:cs="Times New Roman"/>
          <w:w w:val="90"/>
        </w:rPr>
      </w:pPr>
      <w:r w:rsidRPr="009D7154">
        <w:rPr>
          <w:rFonts w:eastAsia="Times New Roman" w:cs="Times New Roman"/>
          <w:w w:val="90"/>
        </w:rPr>
        <w:t>Prévenir les épidémies et événements importants pour la santé publique, y compris les fièvres hémorragiques virales ;</w:t>
      </w:r>
    </w:p>
    <w:p w:rsidR="00103122" w:rsidRPr="009D7154" w:rsidRDefault="00103122" w:rsidP="00520DFB">
      <w:pPr>
        <w:keepNext/>
        <w:numPr>
          <w:ilvl w:val="0"/>
          <w:numId w:val="5"/>
        </w:numPr>
        <w:spacing w:after="0"/>
        <w:jc w:val="both"/>
        <w:rPr>
          <w:rFonts w:cs="Times New Roman"/>
          <w:w w:val="90"/>
        </w:rPr>
      </w:pPr>
      <w:r w:rsidRPr="009D7154">
        <w:rPr>
          <w:rFonts w:eastAsia="Times New Roman" w:cs="Times New Roman"/>
          <w:w w:val="90"/>
        </w:rPr>
        <w:t>Répondre aux épidémies et événements importants pour la santé publique, y compris les fièvres hémorragiques virales ;</w:t>
      </w:r>
    </w:p>
    <w:p w:rsidR="00BC2CC8" w:rsidRPr="009D7154" w:rsidRDefault="00BC2CC8" w:rsidP="00520DFB">
      <w:pPr>
        <w:pStyle w:val="Paragraphedeliste"/>
        <w:keepNext/>
        <w:numPr>
          <w:ilvl w:val="0"/>
          <w:numId w:val="5"/>
        </w:numPr>
        <w:spacing w:after="0"/>
        <w:jc w:val="both"/>
        <w:rPr>
          <w:rFonts w:asciiTheme="minorHAnsi" w:hAnsiTheme="minorHAnsi"/>
          <w:w w:val="90"/>
        </w:rPr>
      </w:pPr>
      <w:r w:rsidRPr="009D7154">
        <w:rPr>
          <w:rFonts w:asciiTheme="minorHAnsi" w:hAnsiTheme="minorHAnsi"/>
          <w:w w:val="90"/>
        </w:rPr>
        <w:t>Communiquer et apporter des rétro informations.</w:t>
      </w:r>
    </w:p>
    <w:p w:rsidR="00BC2CC8" w:rsidRPr="009D7154" w:rsidRDefault="00BC2CC8" w:rsidP="00520DFB">
      <w:pPr>
        <w:pStyle w:val="Paragraphedeliste"/>
        <w:keepNext/>
        <w:numPr>
          <w:ilvl w:val="0"/>
          <w:numId w:val="5"/>
        </w:numPr>
        <w:spacing w:after="0"/>
        <w:jc w:val="both"/>
        <w:rPr>
          <w:rFonts w:asciiTheme="minorHAnsi" w:hAnsiTheme="minorHAnsi"/>
          <w:w w:val="90"/>
        </w:rPr>
      </w:pPr>
      <w:r w:rsidRPr="009D7154">
        <w:rPr>
          <w:rFonts w:asciiTheme="minorHAnsi" w:eastAsia="Times New Roman" w:hAnsiTheme="minorHAnsi"/>
          <w:w w:val="90"/>
        </w:rPr>
        <w:t>Suivre et évaluer la mise en œuvre de la SIMR</w:t>
      </w:r>
    </w:p>
    <w:p w:rsidR="00BC2CC8" w:rsidRPr="009D7154" w:rsidRDefault="00BC2CC8" w:rsidP="00520DFB">
      <w:pPr>
        <w:keepNext/>
        <w:spacing w:after="0"/>
        <w:ind w:left="360"/>
        <w:jc w:val="both"/>
        <w:rPr>
          <w:rFonts w:cs="Times New Roman"/>
          <w:w w:val="90"/>
        </w:rPr>
      </w:pPr>
    </w:p>
    <w:p w:rsidR="00BC2CC8" w:rsidRPr="009D7154" w:rsidRDefault="00BC2CC8" w:rsidP="00520DFB">
      <w:pPr>
        <w:pStyle w:val="Paragraphedeliste"/>
        <w:keepNext/>
        <w:numPr>
          <w:ilvl w:val="0"/>
          <w:numId w:val="4"/>
        </w:numPr>
        <w:spacing w:after="0"/>
        <w:jc w:val="both"/>
        <w:rPr>
          <w:rFonts w:asciiTheme="minorHAnsi" w:eastAsia="Times New Roman" w:hAnsiTheme="minorHAnsi"/>
          <w:b/>
          <w:w w:val="90"/>
        </w:rPr>
      </w:pPr>
      <w:r w:rsidRPr="009D7154">
        <w:rPr>
          <w:rFonts w:asciiTheme="minorHAnsi" w:eastAsia="Times New Roman" w:hAnsiTheme="minorHAnsi"/>
          <w:b/>
          <w:w w:val="90"/>
        </w:rPr>
        <w:t>Méthodologie</w:t>
      </w:r>
    </w:p>
    <w:p w:rsidR="00BC2CC8" w:rsidRPr="009D7154" w:rsidRDefault="00BC2CC8" w:rsidP="00520DFB">
      <w:pPr>
        <w:pStyle w:val="Paragraphedeliste"/>
        <w:keepNext/>
        <w:spacing w:after="0"/>
        <w:jc w:val="both"/>
        <w:rPr>
          <w:rFonts w:asciiTheme="minorHAnsi" w:eastAsia="Times New Roman" w:hAnsiTheme="minorHAnsi"/>
          <w:w w:val="90"/>
        </w:rPr>
      </w:pPr>
      <w:r w:rsidRPr="009D7154">
        <w:rPr>
          <w:rFonts w:asciiTheme="minorHAnsi" w:eastAsia="Times New Roman" w:hAnsiTheme="minorHAnsi"/>
          <w:w w:val="90"/>
        </w:rPr>
        <w:t>Exposés suivis de discussions</w:t>
      </w:r>
    </w:p>
    <w:p w:rsidR="00284A4D" w:rsidRPr="009D7154" w:rsidRDefault="00BC2CC8" w:rsidP="00520DFB">
      <w:pPr>
        <w:pStyle w:val="Paragraphedeliste"/>
        <w:keepNext/>
        <w:spacing w:after="0"/>
        <w:jc w:val="both"/>
        <w:rPr>
          <w:rFonts w:asciiTheme="minorHAnsi" w:eastAsia="Times New Roman" w:hAnsiTheme="minorHAnsi"/>
          <w:w w:val="90"/>
        </w:rPr>
      </w:pPr>
      <w:r w:rsidRPr="009D7154">
        <w:rPr>
          <w:rFonts w:asciiTheme="minorHAnsi" w:eastAsia="Times New Roman" w:hAnsiTheme="minorHAnsi"/>
          <w:w w:val="90"/>
        </w:rPr>
        <w:t>Exercices en travaux de groupes suivis de discussions en plénière</w:t>
      </w:r>
      <w:r w:rsidR="00284A4D" w:rsidRPr="009D7154">
        <w:rPr>
          <w:rFonts w:asciiTheme="minorHAnsi" w:eastAsia="Times New Roman" w:hAnsiTheme="minorHAnsi"/>
          <w:w w:val="90"/>
        </w:rPr>
        <w:t>.</w:t>
      </w:r>
    </w:p>
    <w:p w:rsidR="00BC2CC8" w:rsidRPr="009D7154" w:rsidRDefault="00BC2CC8" w:rsidP="00520DFB">
      <w:pPr>
        <w:pStyle w:val="Paragraphedeliste"/>
        <w:keepNext/>
        <w:numPr>
          <w:ilvl w:val="0"/>
          <w:numId w:val="4"/>
        </w:numPr>
        <w:spacing w:after="0"/>
        <w:jc w:val="both"/>
        <w:rPr>
          <w:rFonts w:asciiTheme="minorHAnsi" w:eastAsia="Times New Roman" w:hAnsiTheme="minorHAnsi"/>
          <w:w w:val="90"/>
        </w:rPr>
      </w:pPr>
      <w:r w:rsidRPr="009D7154">
        <w:rPr>
          <w:rFonts w:asciiTheme="minorHAnsi" w:hAnsiTheme="minorHAnsi"/>
          <w:b/>
          <w:w w:val="90"/>
        </w:rPr>
        <w:t xml:space="preserve">Documents de travail </w:t>
      </w:r>
    </w:p>
    <w:p w:rsidR="00BC2CC8" w:rsidRPr="009D7154" w:rsidRDefault="00BC2CC8" w:rsidP="000626B1">
      <w:pPr>
        <w:pStyle w:val="Paragraphedeliste"/>
        <w:keepNext/>
        <w:numPr>
          <w:ilvl w:val="0"/>
          <w:numId w:val="5"/>
        </w:numPr>
        <w:spacing w:after="0"/>
        <w:jc w:val="both"/>
        <w:rPr>
          <w:rFonts w:asciiTheme="minorHAnsi" w:hAnsiTheme="minorHAnsi"/>
          <w:w w:val="90"/>
        </w:rPr>
      </w:pPr>
      <w:r w:rsidRPr="009D7154">
        <w:rPr>
          <w:rFonts w:asciiTheme="minorHAnsi" w:hAnsiTheme="minorHAnsi"/>
          <w:w w:val="90"/>
        </w:rPr>
        <w:t>Guide technique national de surveillance intégrée de la maladie et de riposte révisé 2012</w:t>
      </w:r>
    </w:p>
    <w:p w:rsidR="00BC2CC8" w:rsidRPr="009D7154" w:rsidRDefault="00BC2CC8" w:rsidP="000626B1">
      <w:pPr>
        <w:pStyle w:val="Paragraphedeliste"/>
        <w:keepNext/>
        <w:numPr>
          <w:ilvl w:val="0"/>
          <w:numId w:val="5"/>
        </w:numPr>
        <w:spacing w:after="0"/>
        <w:jc w:val="both"/>
        <w:rPr>
          <w:rFonts w:asciiTheme="minorHAnsi" w:hAnsiTheme="minorHAnsi"/>
          <w:w w:val="90"/>
        </w:rPr>
      </w:pPr>
      <w:r w:rsidRPr="009D7154">
        <w:rPr>
          <w:rFonts w:asciiTheme="minorHAnsi" w:hAnsiTheme="minorHAnsi"/>
          <w:w w:val="90"/>
        </w:rPr>
        <w:t>Guide d’animateur d’octobre 2013</w:t>
      </w:r>
    </w:p>
    <w:p w:rsidR="00BC2CC8" w:rsidRPr="009D7154" w:rsidRDefault="00BC2CC8" w:rsidP="000626B1">
      <w:pPr>
        <w:pStyle w:val="Paragraphedeliste"/>
        <w:keepNext/>
        <w:numPr>
          <w:ilvl w:val="0"/>
          <w:numId w:val="5"/>
        </w:numPr>
        <w:spacing w:after="0"/>
        <w:jc w:val="both"/>
        <w:rPr>
          <w:rFonts w:asciiTheme="minorHAnsi" w:hAnsiTheme="minorHAnsi"/>
          <w:w w:val="90"/>
        </w:rPr>
      </w:pPr>
      <w:r w:rsidRPr="009D7154">
        <w:rPr>
          <w:rFonts w:asciiTheme="minorHAnsi" w:hAnsiTheme="minorHAnsi"/>
          <w:w w:val="90"/>
        </w:rPr>
        <w:t>Guide du participant du 06/04/2012</w:t>
      </w:r>
    </w:p>
    <w:p w:rsidR="00BC2CC8" w:rsidRPr="009D7154" w:rsidRDefault="00BC2CC8" w:rsidP="000626B1">
      <w:pPr>
        <w:pStyle w:val="Paragraphedeliste"/>
        <w:keepNext/>
        <w:numPr>
          <w:ilvl w:val="0"/>
          <w:numId w:val="5"/>
        </w:numPr>
        <w:spacing w:after="0"/>
        <w:jc w:val="both"/>
        <w:rPr>
          <w:rFonts w:asciiTheme="minorHAnsi" w:hAnsiTheme="minorHAnsi"/>
          <w:w w:val="90"/>
        </w:rPr>
      </w:pPr>
      <w:r w:rsidRPr="009D7154">
        <w:rPr>
          <w:rFonts w:asciiTheme="minorHAnsi" w:hAnsiTheme="minorHAnsi"/>
          <w:w w:val="90"/>
        </w:rPr>
        <w:t>Module de formation sur le règlement sanitaire international (2005)</w:t>
      </w:r>
    </w:p>
    <w:p w:rsidR="00BC2CC8" w:rsidRPr="009D7154" w:rsidRDefault="00BC2CC8" w:rsidP="000626B1">
      <w:pPr>
        <w:pStyle w:val="Paragraphedeliste"/>
        <w:keepNext/>
        <w:numPr>
          <w:ilvl w:val="0"/>
          <w:numId w:val="5"/>
        </w:numPr>
        <w:tabs>
          <w:tab w:val="num" w:pos="426"/>
        </w:tabs>
        <w:spacing w:after="0"/>
        <w:jc w:val="both"/>
        <w:rPr>
          <w:rFonts w:asciiTheme="minorHAnsi" w:eastAsia="Times New Roman" w:hAnsiTheme="minorHAnsi"/>
          <w:w w:val="90"/>
        </w:rPr>
      </w:pPr>
      <w:r w:rsidRPr="009D7154">
        <w:rPr>
          <w:rFonts w:asciiTheme="minorHAnsi" w:hAnsiTheme="minorHAnsi"/>
          <w:w w:val="90"/>
        </w:rPr>
        <w:t>Guide national de prévention et lutte</w:t>
      </w:r>
      <w:r w:rsidRPr="009D7154">
        <w:rPr>
          <w:rFonts w:asciiTheme="minorHAnsi" w:eastAsia="Times New Roman" w:hAnsiTheme="minorHAnsi"/>
          <w:w w:val="90"/>
        </w:rPr>
        <w:t xml:space="preserve"> contre le choléra.</w:t>
      </w:r>
    </w:p>
    <w:p w:rsidR="008E2D0F" w:rsidRPr="009D7154" w:rsidRDefault="008E2D0F" w:rsidP="00520DFB">
      <w:pPr>
        <w:keepNext/>
        <w:tabs>
          <w:tab w:val="num" w:pos="426"/>
        </w:tabs>
        <w:spacing w:after="0"/>
        <w:jc w:val="both"/>
        <w:rPr>
          <w:rFonts w:eastAsia="Times New Roman" w:cs="Times New Roman"/>
          <w:b/>
          <w:w w:val="90"/>
        </w:rPr>
      </w:pPr>
      <w:r w:rsidRPr="009D7154">
        <w:rPr>
          <w:rFonts w:eastAsia="Times New Roman" w:cs="Times New Roman"/>
          <w:b/>
          <w:w w:val="90"/>
        </w:rPr>
        <w:t>5.  Facilitateurs et participants</w:t>
      </w:r>
    </w:p>
    <w:p w:rsidR="00183266" w:rsidRPr="009D7154" w:rsidRDefault="00183266" w:rsidP="00520DFB">
      <w:pPr>
        <w:keepNext/>
        <w:tabs>
          <w:tab w:val="num" w:pos="426"/>
        </w:tabs>
        <w:spacing w:after="0"/>
        <w:jc w:val="both"/>
        <w:rPr>
          <w:rFonts w:eastAsia="Times New Roman" w:cs="Times New Roman"/>
          <w:b/>
          <w:w w:val="90"/>
        </w:rPr>
      </w:pPr>
      <w:r w:rsidRPr="009D7154">
        <w:rPr>
          <w:rFonts w:eastAsia="Times New Roman" w:cs="Times New Roman"/>
          <w:b/>
          <w:w w:val="90"/>
        </w:rPr>
        <w:t>5.1.  Niveau national</w:t>
      </w:r>
    </w:p>
    <w:p w:rsidR="00183266" w:rsidRPr="009D7154" w:rsidRDefault="006D6600" w:rsidP="00520DFB">
      <w:pPr>
        <w:keepNext/>
        <w:tabs>
          <w:tab w:val="num" w:pos="426"/>
        </w:tabs>
        <w:spacing w:after="0"/>
        <w:jc w:val="both"/>
        <w:rPr>
          <w:rFonts w:eastAsia="Times New Roman" w:cs="Times New Roman"/>
          <w:w w:val="90"/>
        </w:rPr>
      </w:pPr>
      <w:r w:rsidRPr="009D7154">
        <w:rPr>
          <w:rFonts w:eastAsia="Times New Roman" w:cs="Times New Roman"/>
          <w:w w:val="90"/>
        </w:rPr>
        <w:t>Facilitateurs nationaux</w:t>
      </w:r>
      <w:r w:rsidR="000626B1" w:rsidRPr="009D7154">
        <w:rPr>
          <w:rFonts w:eastAsia="Times New Roman" w:cs="Times New Roman"/>
          <w:w w:val="90"/>
        </w:rPr>
        <w:t xml:space="preserve"> : </w:t>
      </w:r>
      <w:r w:rsidR="009D75B9" w:rsidRPr="009D7154">
        <w:rPr>
          <w:rFonts w:eastAsia="Times New Roman" w:cs="Times New Roman"/>
          <w:w w:val="90"/>
        </w:rPr>
        <w:t>0</w:t>
      </w:r>
      <w:r w:rsidR="009D75B9">
        <w:rPr>
          <w:rFonts w:eastAsia="Times New Roman" w:cs="Times New Roman"/>
          <w:w w:val="90"/>
        </w:rPr>
        <w:t>2</w:t>
      </w:r>
      <w:r w:rsidR="009D75B9" w:rsidRPr="009D7154">
        <w:rPr>
          <w:rFonts w:eastAsia="Times New Roman" w:cs="Times New Roman"/>
          <w:w w:val="90"/>
        </w:rPr>
        <w:t xml:space="preserve"> </w:t>
      </w:r>
    </w:p>
    <w:p w:rsidR="00EF12AB" w:rsidRDefault="00EF12AB" w:rsidP="00520DFB">
      <w:pPr>
        <w:keepNext/>
        <w:tabs>
          <w:tab w:val="num" w:pos="426"/>
        </w:tabs>
        <w:spacing w:after="0"/>
        <w:jc w:val="both"/>
        <w:rPr>
          <w:rFonts w:eastAsia="Times New Roman" w:cs="Times New Roman"/>
          <w:b/>
          <w:w w:val="90"/>
        </w:rPr>
      </w:pPr>
      <w:r>
        <w:rPr>
          <w:rFonts w:eastAsia="Times New Roman" w:cs="Times New Roman"/>
          <w:b/>
          <w:w w:val="90"/>
        </w:rPr>
        <w:t xml:space="preserve">3 </w:t>
      </w:r>
      <w:r w:rsidRPr="00EF12AB">
        <w:rPr>
          <w:rFonts w:eastAsia="Times New Roman" w:cs="Times New Roman"/>
          <w:b/>
          <w:w w:val="90"/>
        </w:rPr>
        <w:t>Personnes ressources</w:t>
      </w:r>
    </w:p>
    <w:p w:rsidR="009D75B9" w:rsidRDefault="00EF12AB" w:rsidP="00520DFB">
      <w:pPr>
        <w:keepNext/>
        <w:tabs>
          <w:tab w:val="num" w:pos="426"/>
        </w:tabs>
        <w:spacing w:after="0"/>
        <w:jc w:val="both"/>
        <w:rPr>
          <w:rFonts w:eastAsia="Times New Roman" w:cs="Times New Roman"/>
          <w:b/>
          <w:w w:val="90"/>
        </w:rPr>
      </w:pPr>
      <w:r>
        <w:rPr>
          <w:rFonts w:eastAsia="Times New Roman" w:cs="Times New Roman"/>
          <w:b/>
          <w:w w:val="90"/>
        </w:rPr>
        <w:t>4</w:t>
      </w:r>
      <w:r w:rsidR="004B4CC2">
        <w:rPr>
          <w:rFonts w:eastAsia="Times New Roman" w:cs="Times New Roman"/>
          <w:b/>
          <w:w w:val="90"/>
        </w:rPr>
        <w:t xml:space="preserve"> participants</w:t>
      </w:r>
      <w:r>
        <w:rPr>
          <w:rFonts w:eastAsia="Times New Roman" w:cs="Times New Roman"/>
          <w:b/>
          <w:w w:val="90"/>
        </w:rPr>
        <w:t xml:space="preserve"> </w:t>
      </w:r>
      <w:proofErr w:type="gramStart"/>
      <w:r>
        <w:rPr>
          <w:rFonts w:eastAsia="Times New Roman" w:cs="Times New Roman"/>
          <w:b/>
          <w:w w:val="90"/>
        </w:rPr>
        <w:t>( 2</w:t>
      </w:r>
      <w:proofErr w:type="gramEnd"/>
      <w:r>
        <w:rPr>
          <w:rFonts w:eastAsia="Times New Roman" w:cs="Times New Roman"/>
          <w:b/>
          <w:w w:val="90"/>
        </w:rPr>
        <w:t xml:space="preserve"> DNS, 1 ANTIM, 1 CNAM)</w:t>
      </w:r>
    </w:p>
    <w:p w:rsidR="004B4CC2" w:rsidRDefault="004B4CC2" w:rsidP="00520DFB">
      <w:pPr>
        <w:keepNext/>
        <w:tabs>
          <w:tab w:val="num" w:pos="426"/>
        </w:tabs>
        <w:spacing w:after="0"/>
        <w:jc w:val="both"/>
        <w:rPr>
          <w:rFonts w:eastAsia="Times New Roman" w:cs="Times New Roman"/>
          <w:b/>
          <w:w w:val="90"/>
        </w:rPr>
      </w:pPr>
    </w:p>
    <w:p w:rsidR="00183266" w:rsidRPr="009D7154" w:rsidRDefault="00183266" w:rsidP="00520DFB">
      <w:pPr>
        <w:keepNext/>
        <w:tabs>
          <w:tab w:val="num" w:pos="426"/>
        </w:tabs>
        <w:spacing w:after="0"/>
        <w:jc w:val="both"/>
        <w:rPr>
          <w:rFonts w:eastAsia="Times New Roman" w:cs="Times New Roman"/>
          <w:b/>
          <w:w w:val="90"/>
        </w:rPr>
      </w:pPr>
      <w:r w:rsidRPr="009D7154">
        <w:rPr>
          <w:rFonts w:eastAsia="Times New Roman" w:cs="Times New Roman"/>
          <w:b/>
          <w:w w:val="90"/>
        </w:rPr>
        <w:t>5.2.  Niveau régional</w:t>
      </w:r>
    </w:p>
    <w:p w:rsidR="00EF12AB" w:rsidRDefault="00EF12AB" w:rsidP="00520DFB">
      <w:pPr>
        <w:keepNext/>
        <w:tabs>
          <w:tab w:val="num" w:pos="426"/>
        </w:tabs>
        <w:spacing w:after="0"/>
        <w:jc w:val="both"/>
        <w:rPr>
          <w:rFonts w:cs="Times New Roman"/>
          <w:w w:val="90"/>
        </w:rPr>
      </w:pPr>
      <w:r>
        <w:rPr>
          <w:rFonts w:cs="Times New Roman"/>
          <w:w w:val="90"/>
        </w:rPr>
        <w:t xml:space="preserve">11 </w:t>
      </w:r>
      <w:r w:rsidR="009D75B9">
        <w:rPr>
          <w:rFonts w:cs="Times New Roman"/>
          <w:w w:val="90"/>
        </w:rPr>
        <w:t>p</w:t>
      </w:r>
      <w:r w:rsidR="009D75B9" w:rsidRPr="009D75B9">
        <w:rPr>
          <w:rFonts w:cs="Times New Roman"/>
          <w:w w:val="90"/>
        </w:rPr>
        <w:t>articipant</w:t>
      </w:r>
      <w:r w:rsidR="004B4CC2">
        <w:rPr>
          <w:rFonts w:cs="Times New Roman"/>
          <w:w w:val="90"/>
        </w:rPr>
        <w:t xml:space="preserve">s </w:t>
      </w:r>
      <w:r>
        <w:rPr>
          <w:rFonts w:cs="Times New Roman"/>
          <w:w w:val="90"/>
        </w:rPr>
        <w:t>à raison d’un par DRS (</w:t>
      </w:r>
      <w:bookmarkStart w:id="0" w:name="_GoBack"/>
      <w:bookmarkEnd w:id="0"/>
      <w:r w:rsidR="00087F5A" w:rsidRPr="009D75B9">
        <w:rPr>
          <w:rFonts w:cs="Times New Roman"/>
          <w:w w:val="90"/>
        </w:rPr>
        <w:t>Kayes</w:t>
      </w:r>
      <w:r w:rsidR="009D75B9" w:rsidRPr="009D75B9">
        <w:rPr>
          <w:rFonts w:cs="Times New Roman"/>
          <w:w w:val="90"/>
        </w:rPr>
        <w:t xml:space="preserve">, </w:t>
      </w:r>
      <w:proofErr w:type="spellStart"/>
      <w:r w:rsidR="009D75B9" w:rsidRPr="009D75B9">
        <w:rPr>
          <w:rFonts w:cs="Times New Roman"/>
          <w:w w:val="90"/>
        </w:rPr>
        <w:t>k</w:t>
      </w:r>
      <w:r>
        <w:rPr>
          <w:rFonts w:cs="Times New Roman"/>
          <w:w w:val="90"/>
        </w:rPr>
        <w:t>oulikoro</w:t>
      </w:r>
      <w:proofErr w:type="spellEnd"/>
      <w:r>
        <w:rPr>
          <w:rFonts w:cs="Times New Roman"/>
          <w:w w:val="90"/>
        </w:rPr>
        <w:t xml:space="preserve">, </w:t>
      </w:r>
      <w:r w:rsidR="009D75B9" w:rsidRPr="009D75B9">
        <w:rPr>
          <w:rFonts w:cs="Times New Roman"/>
          <w:w w:val="90"/>
        </w:rPr>
        <w:t xml:space="preserve"> Sikasso, </w:t>
      </w:r>
      <w:proofErr w:type="spellStart"/>
      <w:r w:rsidR="009D75B9" w:rsidRPr="009D75B9">
        <w:rPr>
          <w:rFonts w:cs="Times New Roman"/>
          <w:w w:val="90"/>
        </w:rPr>
        <w:t>Segou</w:t>
      </w:r>
      <w:proofErr w:type="spellEnd"/>
      <w:r w:rsidR="009D75B9" w:rsidRPr="009D75B9">
        <w:rPr>
          <w:rFonts w:cs="Times New Roman"/>
          <w:w w:val="90"/>
        </w:rPr>
        <w:t>, Mopti</w:t>
      </w:r>
      <w:r>
        <w:rPr>
          <w:rFonts w:cs="Times New Roman"/>
          <w:w w:val="90"/>
        </w:rPr>
        <w:t xml:space="preserve">, Tombouctou, Gao, Kidal, </w:t>
      </w:r>
      <w:proofErr w:type="spellStart"/>
      <w:r>
        <w:rPr>
          <w:rFonts w:cs="Times New Roman"/>
          <w:w w:val="90"/>
        </w:rPr>
        <w:t>Menaka</w:t>
      </w:r>
      <w:proofErr w:type="spellEnd"/>
      <w:r>
        <w:rPr>
          <w:rFonts w:cs="Times New Roman"/>
          <w:w w:val="90"/>
        </w:rPr>
        <w:t xml:space="preserve"> et </w:t>
      </w:r>
      <w:proofErr w:type="spellStart"/>
      <w:r>
        <w:rPr>
          <w:rFonts w:cs="Times New Roman"/>
          <w:w w:val="90"/>
        </w:rPr>
        <w:t>Taoudenit</w:t>
      </w:r>
      <w:proofErr w:type="spellEnd"/>
      <w:r>
        <w:rPr>
          <w:rFonts w:cs="Times New Roman"/>
          <w:w w:val="90"/>
        </w:rPr>
        <w:t>)</w:t>
      </w:r>
    </w:p>
    <w:p w:rsidR="008E2D0F" w:rsidRPr="009D7154" w:rsidRDefault="006D6600" w:rsidP="00520DFB">
      <w:pPr>
        <w:keepNext/>
        <w:tabs>
          <w:tab w:val="num" w:pos="426"/>
        </w:tabs>
        <w:spacing w:after="0"/>
        <w:jc w:val="both"/>
        <w:rPr>
          <w:rFonts w:cs="Times New Roman"/>
          <w:w w:val="90"/>
        </w:rPr>
      </w:pPr>
      <w:r w:rsidRPr="009D7154">
        <w:rPr>
          <w:rFonts w:cs="Times New Roman"/>
          <w:w w:val="90"/>
        </w:rPr>
        <w:t>C</w:t>
      </w:r>
      <w:r w:rsidR="008E2D0F" w:rsidRPr="009D7154">
        <w:rPr>
          <w:rFonts w:cs="Times New Roman"/>
          <w:w w:val="90"/>
        </w:rPr>
        <w:t>hauffeurs</w:t>
      </w:r>
      <w:r w:rsidRPr="009D7154">
        <w:rPr>
          <w:rFonts w:cs="Times New Roman"/>
          <w:w w:val="90"/>
        </w:rPr>
        <w:t xml:space="preserve"> : </w:t>
      </w:r>
      <w:r w:rsidR="009D75B9">
        <w:rPr>
          <w:rFonts w:cs="Times New Roman"/>
          <w:w w:val="90"/>
        </w:rPr>
        <w:t>1</w:t>
      </w:r>
      <w:r w:rsidR="00EF12AB">
        <w:rPr>
          <w:rFonts w:cs="Times New Roman"/>
          <w:w w:val="90"/>
        </w:rPr>
        <w:t>5</w:t>
      </w:r>
    </w:p>
    <w:p w:rsidR="008E2D0F" w:rsidRPr="009D7154" w:rsidRDefault="008E2D0F" w:rsidP="00520DFB">
      <w:pPr>
        <w:keepNext/>
        <w:tabs>
          <w:tab w:val="num" w:pos="426"/>
        </w:tabs>
        <w:spacing w:after="0"/>
        <w:jc w:val="both"/>
        <w:rPr>
          <w:rFonts w:cs="Times New Roman"/>
          <w:w w:val="90"/>
        </w:rPr>
      </w:pPr>
      <w:r w:rsidRPr="009D7154">
        <w:rPr>
          <w:rFonts w:cs="Times New Roman"/>
          <w:w w:val="90"/>
        </w:rPr>
        <w:t xml:space="preserve">Lieu: </w:t>
      </w:r>
      <w:proofErr w:type="spellStart"/>
      <w:r w:rsidR="009D75B9">
        <w:rPr>
          <w:rFonts w:cs="Times New Roman"/>
          <w:w w:val="90"/>
        </w:rPr>
        <w:t>Banankoroni</w:t>
      </w:r>
      <w:proofErr w:type="spellEnd"/>
    </w:p>
    <w:p w:rsidR="008E2D0F" w:rsidRPr="009D7154" w:rsidRDefault="008E2D0F" w:rsidP="00520DFB">
      <w:pPr>
        <w:keepNext/>
        <w:tabs>
          <w:tab w:val="num" w:pos="426"/>
        </w:tabs>
        <w:spacing w:after="0"/>
        <w:jc w:val="both"/>
        <w:rPr>
          <w:rFonts w:cs="Times New Roman"/>
          <w:w w:val="90"/>
        </w:rPr>
      </w:pPr>
      <w:r w:rsidRPr="009D7154">
        <w:rPr>
          <w:rFonts w:cs="Times New Roman"/>
          <w:w w:val="90"/>
        </w:rPr>
        <w:t xml:space="preserve">Durée: </w:t>
      </w:r>
      <w:r w:rsidR="009D75B9">
        <w:rPr>
          <w:rFonts w:cs="Times New Roman"/>
          <w:w w:val="90"/>
        </w:rPr>
        <w:t>3</w:t>
      </w:r>
      <w:r w:rsidR="009D75B9" w:rsidRPr="009D7154">
        <w:rPr>
          <w:rFonts w:cs="Times New Roman"/>
          <w:w w:val="90"/>
        </w:rPr>
        <w:t xml:space="preserve"> </w:t>
      </w:r>
      <w:r w:rsidRPr="009D7154">
        <w:rPr>
          <w:rFonts w:cs="Times New Roman"/>
          <w:w w:val="90"/>
        </w:rPr>
        <w:t>j</w:t>
      </w:r>
      <w:r w:rsidR="006D6600" w:rsidRPr="009D7154">
        <w:rPr>
          <w:rFonts w:cs="Times New Roman"/>
          <w:w w:val="90"/>
        </w:rPr>
        <w:t>ours</w:t>
      </w:r>
    </w:p>
    <w:p w:rsidR="008E2D0F" w:rsidRPr="009D7154" w:rsidRDefault="008E2D0F" w:rsidP="008E2D0F">
      <w:pPr>
        <w:keepNext/>
        <w:tabs>
          <w:tab w:val="num" w:pos="426"/>
        </w:tabs>
        <w:spacing w:after="0" w:line="360" w:lineRule="auto"/>
        <w:jc w:val="both"/>
        <w:rPr>
          <w:rFonts w:cs="Times New Roman"/>
          <w:b/>
          <w:sz w:val="24"/>
          <w:szCs w:val="24"/>
        </w:rPr>
      </w:pPr>
    </w:p>
    <w:sectPr w:rsidR="008E2D0F" w:rsidRPr="009D7154" w:rsidSect="004534D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E15" w:rsidRDefault="00970E15" w:rsidP="000626B1">
      <w:pPr>
        <w:spacing w:after="0" w:line="240" w:lineRule="auto"/>
      </w:pPr>
      <w:r>
        <w:separator/>
      </w:r>
    </w:p>
  </w:endnote>
  <w:endnote w:type="continuationSeparator" w:id="0">
    <w:p w:rsidR="00970E15" w:rsidRDefault="00970E15" w:rsidP="0006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370625"/>
      <w:docPartObj>
        <w:docPartGallery w:val="Page Numbers (Bottom of Page)"/>
        <w:docPartUnique/>
      </w:docPartObj>
    </w:sdtPr>
    <w:sdtEndPr/>
    <w:sdtContent>
      <w:p w:rsidR="000626B1" w:rsidRDefault="00970E15">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2049"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0626B1" w:rsidRDefault="00E25255">
                    <w:pPr>
                      <w:jc w:val="center"/>
                    </w:pPr>
                    <w:r>
                      <w:fldChar w:fldCharType="begin"/>
                    </w:r>
                    <w:r w:rsidR="000626B1">
                      <w:instrText>PAGE    \* MERGEFORMAT</w:instrText>
                    </w:r>
                    <w:r>
                      <w:fldChar w:fldCharType="separate"/>
                    </w:r>
                    <w:r w:rsidR="00087F5A" w:rsidRPr="00087F5A">
                      <w:rPr>
                        <w:noProof/>
                        <w:sz w:val="16"/>
                        <w:szCs w:val="16"/>
                      </w:rPr>
                      <w:t>2</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E15" w:rsidRDefault="00970E15" w:rsidP="000626B1">
      <w:pPr>
        <w:spacing w:after="0" w:line="240" w:lineRule="auto"/>
      </w:pPr>
      <w:r>
        <w:separator/>
      </w:r>
    </w:p>
  </w:footnote>
  <w:footnote w:type="continuationSeparator" w:id="0">
    <w:p w:rsidR="00970E15" w:rsidRDefault="00970E15" w:rsidP="00062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3437F"/>
    <w:multiLevelType w:val="multilevel"/>
    <w:tmpl w:val="543853A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11D726A4"/>
    <w:multiLevelType w:val="hybridMultilevel"/>
    <w:tmpl w:val="32A2C8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DB10BC"/>
    <w:multiLevelType w:val="hybridMultilevel"/>
    <w:tmpl w:val="5A8AC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0BB1E1E"/>
    <w:multiLevelType w:val="hybridMultilevel"/>
    <w:tmpl w:val="3DAE98AA"/>
    <w:lvl w:ilvl="0" w:tplc="0409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61AC5194"/>
    <w:multiLevelType w:val="multilevel"/>
    <w:tmpl w:val="056680BE"/>
    <w:lvl w:ilvl="0">
      <w:start w:val="1"/>
      <w:numFmt w:val="decimal"/>
      <w:lvlText w:val="%1."/>
      <w:lvlJc w:val="left"/>
      <w:pPr>
        <w:tabs>
          <w:tab w:val="num" w:pos="720"/>
        </w:tabs>
        <w:ind w:left="720" w:hanging="360"/>
      </w:pPr>
      <w:rPr>
        <w:rFonts w:hint="default"/>
      </w:rPr>
    </w:lvl>
    <w:lvl w:ilv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7255762F"/>
    <w:multiLevelType w:val="hybridMultilevel"/>
    <w:tmpl w:val="8FF899D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94C22A5"/>
    <w:multiLevelType w:val="multilevel"/>
    <w:tmpl w:val="2E84FB8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
  </w:num>
  <w:num w:numId="2">
    <w:abstractNumId w:val="4"/>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E380A"/>
    <w:rsid w:val="000626B1"/>
    <w:rsid w:val="00087F5A"/>
    <w:rsid w:val="00103122"/>
    <w:rsid w:val="00183266"/>
    <w:rsid w:val="001E6669"/>
    <w:rsid w:val="002250D3"/>
    <w:rsid w:val="00284A4D"/>
    <w:rsid w:val="003413F9"/>
    <w:rsid w:val="004534D3"/>
    <w:rsid w:val="00484258"/>
    <w:rsid w:val="004B26E3"/>
    <w:rsid w:val="004B4CC2"/>
    <w:rsid w:val="004B5EA0"/>
    <w:rsid w:val="00513C5A"/>
    <w:rsid w:val="00514398"/>
    <w:rsid w:val="00520DFB"/>
    <w:rsid w:val="00541945"/>
    <w:rsid w:val="00553DDA"/>
    <w:rsid w:val="006A7CE3"/>
    <w:rsid w:val="006C7836"/>
    <w:rsid w:val="006D6600"/>
    <w:rsid w:val="006F05C7"/>
    <w:rsid w:val="008E2D0F"/>
    <w:rsid w:val="00970E15"/>
    <w:rsid w:val="0097356D"/>
    <w:rsid w:val="009D7154"/>
    <w:rsid w:val="009D75B9"/>
    <w:rsid w:val="009E380A"/>
    <w:rsid w:val="009F4386"/>
    <w:rsid w:val="00B97E2A"/>
    <w:rsid w:val="00BC2CC8"/>
    <w:rsid w:val="00C10C5B"/>
    <w:rsid w:val="00C46B0A"/>
    <w:rsid w:val="00CC2063"/>
    <w:rsid w:val="00D951CF"/>
    <w:rsid w:val="00DD7F18"/>
    <w:rsid w:val="00E25255"/>
    <w:rsid w:val="00ED4F1B"/>
    <w:rsid w:val="00EF12AB"/>
    <w:rsid w:val="00F051C8"/>
    <w:rsid w:val="00F27F31"/>
    <w:rsid w:val="00F569B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4C4E11F-423D-4CF8-864C-69589D80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4D3"/>
  </w:style>
  <w:style w:type="paragraph" w:styleId="Titre1">
    <w:name w:val="heading 1"/>
    <w:basedOn w:val="Normal"/>
    <w:next w:val="Normal"/>
    <w:link w:val="Titre1Car"/>
    <w:uiPriority w:val="9"/>
    <w:qFormat/>
    <w:rsid w:val="006C7836"/>
    <w:pPr>
      <w:keepNext/>
      <w:spacing w:after="0" w:line="240" w:lineRule="auto"/>
      <w:outlineLvl w:val="0"/>
    </w:pPr>
    <w:rPr>
      <w:rFonts w:ascii="Arial" w:eastAsia="Times New Roman" w:hAnsi="Arial"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lorfulList-Accent11">
    <w:name w:val="Colorful List - Accent 11"/>
    <w:basedOn w:val="Normal"/>
    <w:uiPriority w:val="34"/>
    <w:qFormat/>
    <w:rsid w:val="009E380A"/>
    <w:pPr>
      <w:ind w:left="720"/>
      <w:contextualSpacing/>
    </w:pPr>
    <w:rPr>
      <w:rFonts w:ascii="Calibri" w:eastAsia="Calibri" w:hAnsi="Calibri" w:cs="Times New Roman"/>
      <w:lang w:val="en-US" w:eastAsia="en-US"/>
    </w:rPr>
  </w:style>
  <w:style w:type="character" w:customStyle="1" w:styleId="Titre1Car">
    <w:name w:val="Titre 1 Car"/>
    <w:basedOn w:val="Policepardfaut"/>
    <w:link w:val="Titre1"/>
    <w:uiPriority w:val="9"/>
    <w:rsid w:val="006C7836"/>
    <w:rPr>
      <w:rFonts w:ascii="Arial" w:eastAsia="Times New Roman" w:hAnsi="Arial" w:cs="Times New Roman"/>
      <w:sz w:val="24"/>
      <w:szCs w:val="20"/>
    </w:rPr>
  </w:style>
  <w:style w:type="paragraph" w:styleId="Retraitcorpsdetexte">
    <w:name w:val="Body Text Indent"/>
    <w:basedOn w:val="Normal"/>
    <w:link w:val="RetraitcorpsdetexteCar"/>
    <w:rsid w:val="006C7836"/>
    <w:pPr>
      <w:spacing w:after="0" w:line="240" w:lineRule="auto"/>
      <w:ind w:left="720"/>
    </w:pPr>
    <w:rPr>
      <w:rFonts w:ascii="Times New Roman" w:eastAsia="Times New Roman" w:hAnsi="Times New Roman" w:cs="Times New Roman"/>
      <w:sz w:val="28"/>
      <w:szCs w:val="20"/>
      <w:lang w:val="fr-CH"/>
    </w:rPr>
  </w:style>
  <w:style w:type="character" w:customStyle="1" w:styleId="RetraitcorpsdetexteCar">
    <w:name w:val="Retrait corps de texte Car"/>
    <w:basedOn w:val="Policepardfaut"/>
    <w:link w:val="Retraitcorpsdetexte"/>
    <w:rsid w:val="006C7836"/>
    <w:rPr>
      <w:rFonts w:ascii="Times New Roman" w:eastAsia="Times New Roman" w:hAnsi="Times New Roman" w:cs="Times New Roman"/>
      <w:sz w:val="28"/>
      <w:szCs w:val="20"/>
      <w:lang w:val="fr-CH"/>
    </w:rPr>
  </w:style>
  <w:style w:type="paragraph" w:styleId="Corpsdetexte3">
    <w:name w:val="Body Text 3"/>
    <w:basedOn w:val="Normal"/>
    <w:link w:val="Corpsdetexte3Car"/>
    <w:uiPriority w:val="99"/>
    <w:unhideWhenUsed/>
    <w:rsid w:val="006C7836"/>
    <w:pPr>
      <w:spacing w:after="120"/>
    </w:pPr>
    <w:rPr>
      <w:rFonts w:ascii="Calibri" w:eastAsia="Calibri" w:hAnsi="Calibri" w:cs="Times New Roman"/>
      <w:sz w:val="16"/>
      <w:szCs w:val="16"/>
    </w:rPr>
  </w:style>
  <w:style w:type="character" w:customStyle="1" w:styleId="Corpsdetexte3Car">
    <w:name w:val="Corps de texte 3 Car"/>
    <w:basedOn w:val="Policepardfaut"/>
    <w:link w:val="Corpsdetexte3"/>
    <w:uiPriority w:val="99"/>
    <w:rsid w:val="006C7836"/>
    <w:rPr>
      <w:rFonts w:ascii="Calibri" w:eastAsia="Calibri" w:hAnsi="Calibri" w:cs="Times New Roman"/>
      <w:sz w:val="16"/>
      <w:szCs w:val="16"/>
    </w:rPr>
  </w:style>
  <w:style w:type="paragraph" w:styleId="Paragraphedeliste">
    <w:name w:val="List Paragraph"/>
    <w:basedOn w:val="Normal"/>
    <w:uiPriority w:val="34"/>
    <w:qFormat/>
    <w:rsid w:val="00BC2CC8"/>
    <w:pPr>
      <w:ind w:left="720"/>
      <w:contextualSpacing/>
    </w:pPr>
    <w:rPr>
      <w:rFonts w:ascii="Calibri" w:eastAsia="Calibri" w:hAnsi="Calibri" w:cs="Times New Roman"/>
      <w:lang w:eastAsia="en-US"/>
    </w:rPr>
  </w:style>
  <w:style w:type="paragraph" w:styleId="En-tte">
    <w:name w:val="header"/>
    <w:basedOn w:val="Normal"/>
    <w:link w:val="En-tteCar"/>
    <w:uiPriority w:val="99"/>
    <w:unhideWhenUsed/>
    <w:rsid w:val="000626B1"/>
    <w:pPr>
      <w:tabs>
        <w:tab w:val="center" w:pos="4536"/>
        <w:tab w:val="right" w:pos="9072"/>
      </w:tabs>
      <w:spacing w:after="0" w:line="240" w:lineRule="auto"/>
    </w:pPr>
  </w:style>
  <w:style w:type="character" w:customStyle="1" w:styleId="En-tteCar">
    <w:name w:val="En-tête Car"/>
    <w:basedOn w:val="Policepardfaut"/>
    <w:link w:val="En-tte"/>
    <w:uiPriority w:val="99"/>
    <w:rsid w:val="000626B1"/>
  </w:style>
  <w:style w:type="paragraph" w:styleId="Pieddepage">
    <w:name w:val="footer"/>
    <w:basedOn w:val="Normal"/>
    <w:link w:val="PieddepageCar"/>
    <w:uiPriority w:val="99"/>
    <w:unhideWhenUsed/>
    <w:rsid w:val="000626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2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752</Words>
  <Characters>4139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MAIGA</dc:creator>
  <cp:lastModifiedBy>ahmadou boly</cp:lastModifiedBy>
  <cp:revision>14</cp:revision>
  <dcterms:created xsi:type="dcterms:W3CDTF">2015-09-13T17:43:00Z</dcterms:created>
  <dcterms:modified xsi:type="dcterms:W3CDTF">2017-09-12T09:19:00Z</dcterms:modified>
</cp:coreProperties>
</file>