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6311" w:rsidRDefault="000E08C1" w:rsidP="00411E25">
      <w:pPr>
        <w:pBdr>
          <w:top w:val="thinThickSmallGap" w:sz="24" w:space="1" w:color="auto"/>
          <w:left w:val="thinThickSmallGap" w:sz="24" w:space="2" w:color="auto"/>
          <w:bottom w:val="thickThinSmallGap" w:sz="24" w:space="7" w:color="auto"/>
          <w:right w:val="thickThinSmallGap" w:sz="24" w:space="4" w:color="auto"/>
        </w:pBdr>
        <w:spacing w:line="360" w:lineRule="auto"/>
        <w:jc w:val="center"/>
        <w:rPr>
          <w:rFonts w:asciiTheme="minorHAnsi" w:hAnsiTheme="minorHAnsi" w:cstheme="minorHAnsi"/>
          <w:b/>
          <w:i/>
        </w:rPr>
      </w:pPr>
      <w:r>
        <w:rPr>
          <w:rFonts w:asciiTheme="minorHAnsi" w:hAnsiTheme="minorHAnsi" w:cstheme="minorHAnsi"/>
          <w:b/>
          <w:i/>
        </w:rPr>
        <w:t>SYNTHESE</w:t>
      </w:r>
      <w:r w:rsidR="003B064D">
        <w:rPr>
          <w:rFonts w:asciiTheme="minorHAnsi" w:hAnsiTheme="minorHAnsi" w:cstheme="minorHAnsi"/>
          <w:b/>
          <w:i/>
        </w:rPr>
        <w:t xml:space="preserve"> GENERALE</w:t>
      </w:r>
      <w:r w:rsidR="00B251AC">
        <w:rPr>
          <w:rFonts w:asciiTheme="minorHAnsi" w:hAnsiTheme="minorHAnsi" w:cstheme="minorHAnsi"/>
          <w:b/>
          <w:i/>
        </w:rPr>
        <w:t xml:space="preserve"> </w:t>
      </w:r>
      <w:r w:rsidR="00210982">
        <w:rPr>
          <w:rFonts w:asciiTheme="minorHAnsi" w:hAnsiTheme="minorHAnsi" w:cstheme="minorHAnsi"/>
          <w:b/>
          <w:i/>
        </w:rPr>
        <w:t>DE L’ATELIER DE</w:t>
      </w:r>
      <w:r w:rsidR="00B251AC" w:rsidRPr="00885E67">
        <w:rPr>
          <w:rFonts w:asciiTheme="minorHAnsi" w:hAnsiTheme="minorHAnsi" w:cstheme="minorHAnsi"/>
          <w:b/>
          <w:i/>
        </w:rPr>
        <w:t xml:space="preserve"> </w:t>
      </w:r>
      <w:r w:rsidRPr="000E08C1">
        <w:rPr>
          <w:rFonts w:asciiTheme="minorHAnsi" w:hAnsiTheme="minorHAnsi" w:cstheme="minorHAnsi"/>
          <w:b/>
          <w:i/>
        </w:rPr>
        <w:t xml:space="preserve">VALIDATION </w:t>
      </w:r>
      <w:r w:rsidR="00B251AC" w:rsidRPr="00885E67">
        <w:rPr>
          <w:rFonts w:asciiTheme="minorHAnsi" w:hAnsiTheme="minorHAnsi" w:cstheme="minorHAnsi"/>
          <w:b/>
          <w:i/>
        </w:rPr>
        <w:t>DU GUIDE TECHNIQUE DE LA SURVEILLANCE INTEGREE DE LA MALADIE ET LA RIPOSTE (SIMR)</w:t>
      </w:r>
      <w:r w:rsidR="00856311">
        <w:rPr>
          <w:rFonts w:asciiTheme="minorHAnsi" w:hAnsiTheme="minorHAnsi" w:cstheme="minorHAnsi"/>
          <w:b/>
          <w:i/>
        </w:rPr>
        <w:t>.</w:t>
      </w:r>
    </w:p>
    <w:p w:rsidR="00B251AC" w:rsidRPr="00885E67" w:rsidRDefault="000E08C1" w:rsidP="00411E25">
      <w:pPr>
        <w:pBdr>
          <w:top w:val="thinThickSmallGap" w:sz="24" w:space="1" w:color="auto"/>
          <w:left w:val="thinThickSmallGap" w:sz="24" w:space="2" w:color="auto"/>
          <w:bottom w:val="thickThinSmallGap" w:sz="24" w:space="7" w:color="auto"/>
          <w:right w:val="thickThinSmallGap" w:sz="24" w:space="4" w:color="auto"/>
        </w:pBdr>
        <w:spacing w:line="360" w:lineRule="auto"/>
        <w:jc w:val="center"/>
        <w:rPr>
          <w:rFonts w:asciiTheme="minorHAnsi" w:hAnsiTheme="minorHAnsi" w:cstheme="minorHAnsi"/>
          <w:b/>
          <w:i/>
        </w:rPr>
      </w:pPr>
      <w:r>
        <w:rPr>
          <w:rFonts w:asciiTheme="minorHAnsi" w:hAnsiTheme="minorHAnsi" w:cstheme="minorHAnsi"/>
          <w:b/>
          <w:i/>
        </w:rPr>
        <w:t xml:space="preserve"> </w:t>
      </w:r>
      <w:r w:rsidR="00856311">
        <w:rPr>
          <w:rFonts w:asciiTheme="minorHAnsi" w:hAnsiTheme="minorHAnsi" w:cstheme="minorHAnsi"/>
          <w:b/>
          <w:i/>
        </w:rPr>
        <w:t xml:space="preserve">  </w:t>
      </w:r>
      <w:r w:rsidRPr="000E08C1">
        <w:rPr>
          <w:rFonts w:asciiTheme="minorHAnsi" w:hAnsiTheme="minorHAnsi" w:cstheme="minorHAnsi"/>
          <w:b/>
          <w:i/>
        </w:rPr>
        <w:t>BANANKORO</w:t>
      </w:r>
      <w:r w:rsidR="00DF632F">
        <w:rPr>
          <w:rFonts w:asciiTheme="minorHAnsi" w:hAnsiTheme="minorHAnsi" w:cstheme="minorHAnsi"/>
          <w:b/>
          <w:i/>
        </w:rPr>
        <w:t>,</w:t>
      </w:r>
      <w:r>
        <w:rPr>
          <w:rFonts w:asciiTheme="minorHAnsi" w:hAnsiTheme="minorHAnsi" w:cstheme="minorHAnsi"/>
          <w:b/>
          <w:i/>
        </w:rPr>
        <w:t xml:space="preserve">  </w:t>
      </w:r>
      <w:r w:rsidRPr="000E08C1">
        <w:rPr>
          <w:rFonts w:asciiTheme="minorHAnsi" w:hAnsiTheme="minorHAnsi" w:cstheme="minorHAnsi"/>
          <w:b/>
          <w:i/>
        </w:rPr>
        <w:t>DU 07 AU</w:t>
      </w:r>
      <w:r w:rsidR="00DF632F">
        <w:rPr>
          <w:rFonts w:asciiTheme="minorHAnsi" w:hAnsiTheme="minorHAnsi" w:cstheme="minorHAnsi"/>
          <w:b/>
          <w:i/>
        </w:rPr>
        <w:t xml:space="preserve"> 09 AOUT 2017</w:t>
      </w:r>
    </w:p>
    <w:p w:rsidR="00B251AC" w:rsidRPr="00885E67" w:rsidRDefault="00B251AC" w:rsidP="00B251AC">
      <w:pPr>
        <w:spacing w:line="360" w:lineRule="auto"/>
        <w:jc w:val="both"/>
        <w:rPr>
          <w:rFonts w:asciiTheme="minorHAnsi" w:hAnsiTheme="minorHAnsi" w:cstheme="minorHAnsi"/>
          <w:b/>
          <w:u w:val="single"/>
        </w:rPr>
      </w:pPr>
    </w:p>
    <w:p w:rsidR="00B251AC" w:rsidRPr="00BD1913" w:rsidRDefault="00B251AC" w:rsidP="00B251AC">
      <w:pPr>
        <w:spacing w:line="276" w:lineRule="auto"/>
        <w:jc w:val="both"/>
      </w:pPr>
      <w:r w:rsidRPr="00BD1913">
        <w:t xml:space="preserve">L’an 2017 et </w:t>
      </w:r>
      <w:r w:rsidR="003B064D">
        <w:t xml:space="preserve">du </w:t>
      </w:r>
      <w:r w:rsidR="00462476">
        <w:t>07</w:t>
      </w:r>
      <w:r w:rsidR="000E08C1" w:rsidRPr="00BD1913">
        <w:t xml:space="preserve"> </w:t>
      </w:r>
      <w:r w:rsidR="003B064D">
        <w:t>au 09 Aoû</w:t>
      </w:r>
      <w:r w:rsidR="000E08C1" w:rsidRPr="00BD1913">
        <w:t xml:space="preserve">t </w:t>
      </w:r>
      <w:r w:rsidR="003B064D">
        <w:t>s’est déroulé dans la salle de</w:t>
      </w:r>
      <w:r w:rsidRPr="00BD1913">
        <w:t xml:space="preserve"> conférence d</w:t>
      </w:r>
      <w:r w:rsidR="00462476">
        <w:t>u centre de formation et séminaire</w:t>
      </w:r>
      <w:r w:rsidR="00DF632F">
        <w:t xml:space="preserve">s évènementiels </w:t>
      </w:r>
      <w:r w:rsidR="00E43460" w:rsidRPr="00BD1913">
        <w:t xml:space="preserve"> </w:t>
      </w:r>
      <w:proofErr w:type="spellStart"/>
      <w:r w:rsidR="00462476">
        <w:t>Diamc</w:t>
      </w:r>
      <w:r w:rsidR="00E43460" w:rsidRPr="00BD1913">
        <w:t>is</w:t>
      </w:r>
      <w:proofErr w:type="spellEnd"/>
      <w:r w:rsidR="00E43460" w:rsidRPr="00BD1913">
        <w:t xml:space="preserve">, </w:t>
      </w:r>
      <w:proofErr w:type="spellStart"/>
      <w:r w:rsidR="00E43460" w:rsidRPr="00BD1913">
        <w:t>Banankoro</w:t>
      </w:r>
      <w:proofErr w:type="spellEnd"/>
      <w:r w:rsidR="00E43460" w:rsidRPr="00BD1913">
        <w:t xml:space="preserve">, Région de Koulikoro, </w:t>
      </w:r>
      <w:r w:rsidRPr="00BD1913">
        <w:t xml:space="preserve">l’atelier de </w:t>
      </w:r>
      <w:r w:rsidR="00E43460" w:rsidRPr="00BD1913">
        <w:t xml:space="preserve">validation du </w:t>
      </w:r>
      <w:r w:rsidRPr="00BD1913">
        <w:t>guide technique de la Surveillance Intégrée de la Maladie et la Riposte (SIMR) organisé par la Direction Nationale de la Santé. Cet atelier a bénéficié de l’appui   financier de GHSA.</w:t>
      </w:r>
    </w:p>
    <w:p w:rsidR="00BD1913" w:rsidRPr="00BD1913" w:rsidRDefault="00BD1913" w:rsidP="00B251AC">
      <w:pPr>
        <w:spacing w:line="276" w:lineRule="auto"/>
        <w:jc w:val="both"/>
      </w:pPr>
    </w:p>
    <w:p w:rsidR="00B251AC" w:rsidRPr="00BD1913" w:rsidRDefault="00B251AC" w:rsidP="00BD1913">
      <w:pPr>
        <w:pStyle w:val="Footer"/>
        <w:tabs>
          <w:tab w:val="left" w:pos="708"/>
        </w:tabs>
        <w:spacing w:before="120" w:after="120" w:line="276" w:lineRule="auto"/>
        <w:jc w:val="both"/>
      </w:pPr>
      <w:r w:rsidRPr="00BD1913">
        <w:rPr>
          <w:b/>
        </w:rPr>
        <w:t>Etaient présents à cet atelier</w:t>
      </w:r>
      <w:r w:rsidRPr="00BD1913">
        <w:t> </w:t>
      </w:r>
      <w:r w:rsidR="008557A5">
        <w:t>les représentants de</w:t>
      </w:r>
      <w:r w:rsidRPr="00BD1913">
        <w:t>:</w:t>
      </w:r>
    </w:p>
    <w:p w:rsidR="00E43460" w:rsidRPr="00BD1913" w:rsidRDefault="00B251AC" w:rsidP="00BD1913">
      <w:pPr>
        <w:spacing w:before="120" w:after="120" w:line="276" w:lineRule="auto"/>
        <w:jc w:val="both"/>
        <w:rPr>
          <w:b/>
        </w:rPr>
      </w:pPr>
      <w:r w:rsidRPr="00BD1913">
        <w:rPr>
          <w:b/>
        </w:rPr>
        <w:t xml:space="preserve">Niveau national </w:t>
      </w:r>
    </w:p>
    <w:p w:rsidR="005A10B6" w:rsidRPr="00BD1913" w:rsidRDefault="005A10B6" w:rsidP="00BD1913">
      <w:pPr>
        <w:numPr>
          <w:ilvl w:val="0"/>
          <w:numId w:val="16"/>
        </w:numPr>
        <w:spacing w:line="276" w:lineRule="auto"/>
        <w:jc w:val="both"/>
      </w:pPr>
      <w:r w:rsidRPr="00BD1913">
        <w:t>D</w:t>
      </w:r>
      <w:r w:rsidR="008557A5">
        <w:t xml:space="preserve">irection </w:t>
      </w:r>
      <w:r w:rsidRPr="00BD1913">
        <w:t>N</w:t>
      </w:r>
      <w:r w:rsidR="008557A5">
        <w:t xml:space="preserve">ationale de la </w:t>
      </w:r>
      <w:r w:rsidRPr="00BD1913">
        <w:t>S</w:t>
      </w:r>
      <w:r w:rsidR="008557A5">
        <w:t>anté</w:t>
      </w:r>
      <w:r w:rsidRPr="00BD1913">
        <w:t xml:space="preserve"> </w:t>
      </w:r>
    </w:p>
    <w:p w:rsidR="00E43460" w:rsidRPr="00BD1913" w:rsidRDefault="008557A5" w:rsidP="00BD1913">
      <w:pPr>
        <w:numPr>
          <w:ilvl w:val="0"/>
          <w:numId w:val="16"/>
        </w:numPr>
        <w:spacing w:line="276" w:lineRule="auto"/>
        <w:jc w:val="both"/>
      </w:pPr>
      <w:r>
        <w:t xml:space="preserve">Direction du </w:t>
      </w:r>
      <w:r w:rsidR="00E43460" w:rsidRPr="00BD1913">
        <w:t>Programme National de Lutte contre l</w:t>
      </w:r>
      <w:r w:rsidR="005A10B6" w:rsidRPr="00BD1913">
        <w:t>e Paludisme</w:t>
      </w:r>
    </w:p>
    <w:p w:rsidR="00E43460" w:rsidRPr="00BD1913" w:rsidRDefault="00E43460" w:rsidP="00BD1913">
      <w:pPr>
        <w:numPr>
          <w:ilvl w:val="0"/>
          <w:numId w:val="16"/>
        </w:numPr>
        <w:spacing w:line="276" w:lineRule="auto"/>
        <w:jc w:val="both"/>
      </w:pPr>
      <w:r w:rsidRPr="00BD1913">
        <w:t>Centre National d’Appui à la Lutte contre la Maladie</w:t>
      </w:r>
      <w:r w:rsidR="005A10B6" w:rsidRPr="00BD1913">
        <w:t xml:space="preserve">  </w:t>
      </w:r>
    </w:p>
    <w:p w:rsidR="00E43460" w:rsidRPr="00BD1913" w:rsidRDefault="00E43460" w:rsidP="00BD1913">
      <w:pPr>
        <w:numPr>
          <w:ilvl w:val="0"/>
          <w:numId w:val="16"/>
        </w:numPr>
        <w:spacing w:line="276" w:lineRule="auto"/>
        <w:jc w:val="both"/>
      </w:pPr>
      <w:r w:rsidRPr="00BD1913">
        <w:t>INRSP (Bactériologie, Sérologie, Santé Communautaire</w:t>
      </w:r>
      <w:r w:rsidR="005A10B6" w:rsidRPr="00BD1913">
        <w:t xml:space="preserve"> et Médecine Traditionnelle)</w:t>
      </w:r>
    </w:p>
    <w:p w:rsidR="00E43460" w:rsidRPr="00BD1913" w:rsidRDefault="00E43460" w:rsidP="00BD1913">
      <w:pPr>
        <w:numPr>
          <w:ilvl w:val="0"/>
          <w:numId w:val="16"/>
        </w:numPr>
        <w:spacing w:line="276" w:lineRule="auto"/>
        <w:jc w:val="both"/>
      </w:pPr>
      <w:r w:rsidRPr="00BD1913">
        <w:t>Agence Nationale de la Sécurité Sanitaire des Alimen</w:t>
      </w:r>
      <w:r w:rsidR="00E846ED">
        <w:t>ts</w:t>
      </w:r>
      <w:r w:rsidR="005A10B6" w:rsidRPr="00BD1913">
        <w:t xml:space="preserve"> </w:t>
      </w:r>
    </w:p>
    <w:p w:rsidR="00E43460" w:rsidRPr="00BD1913" w:rsidRDefault="00E43460" w:rsidP="00BD1913">
      <w:pPr>
        <w:numPr>
          <w:ilvl w:val="0"/>
          <w:numId w:val="16"/>
        </w:numPr>
        <w:spacing w:line="276" w:lineRule="auto"/>
        <w:jc w:val="both"/>
      </w:pPr>
      <w:r w:rsidRPr="00BD1913">
        <w:t>Agence Nationale de la Télésanté et de l’Infor</w:t>
      </w:r>
      <w:r w:rsidR="005A10B6" w:rsidRPr="00BD1913">
        <w:t>matique Médicale</w:t>
      </w:r>
    </w:p>
    <w:p w:rsidR="00E43460" w:rsidRPr="00BD1913" w:rsidRDefault="00E43460" w:rsidP="00BD1913">
      <w:pPr>
        <w:numPr>
          <w:ilvl w:val="0"/>
          <w:numId w:val="16"/>
        </w:numPr>
        <w:spacing w:line="276" w:lineRule="auto"/>
        <w:jc w:val="both"/>
      </w:pPr>
      <w:r w:rsidRPr="00BD1913">
        <w:t>Direction Nationale des Eau</w:t>
      </w:r>
      <w:r w:rsidR="005A10B6" w:rsidRPr="00BD1913">
        <w:t>x et Forêts</w:t>
      </w:r>
    </w:p>
    <w:p w:rsidR="00E43460" w:rsidRPr="00BD1913" w:rsidRDefault="00E43460" w:rsidP="00BD1913">
      <w:pPr>
        <w:numPr>
          <w:ilvl w:val="0"/>
          <w:numId w:val="16"/>
        </w:numPr>
        <w:spacing w:line="276" w:lineRule="auto"/>
        <w:jc w:val="both"/>
      </w:pPr>
      <w:r w:rsidRPr="00BD1913">
        <w:t>Direction Nationale de l’Agricu</w:t>
      </w:r>
      <w:r w:rsidR="005A10B6" w:rsidRPr="00BD1913">
        <w:t>lture</w:t>
      </w:r>
    </w:p>
    <w:p w:rsidR="00E43460" w:rsidRPr="00BD1913" w:rsidRDefault="00E43460" w:rsidP="00BD1913">
      <w:pPr>
        <w:numPr>
          <w:ilvl w:val="0"/>
          <w:numId w:val="16"/>
        </w:numPr>
        <w:spacing w:line="276" w:lineRule="auto"/>
      </w:pPr>
      <w:r w:rsidRPr="00BD1913">
        <w:t xml:space="preserve">Office de la Protection des </w:t>
      </w:r>
      <w:r w:rsidR="005A10B6" w:rsidRPr="00BD1913">
        <w:t>Végétaux</w:t>
      </w:r>
    </w:p>
    <w:p w:rsidR="00E43460" w:rsidRPr="00BD1913" w:rsidRDefault="00E43460" w:rsidP="00BD1913">
      <w:pPr>
        <w:numPr>
          <w:ilvl w:val="0"/>
          <w:numId w:val="16"/>
        </w:numPr>
        <w:spacing w:line="276" w:lineRule="auto"/>
      </w:pPr>
      <w:r w:rsidRPr="00BD1913">
        <w:t>Direction Nationale de l’Assainissement et du Contrôle</w:t>
      </w:r>
      <w:r w:rsidR="005A10B6" w:rsidRPr="00BD1913">
        <w:t xml:space="preserve"> des Pollutions et Nuisances</w:t>
      </w:r>
    </w:p>
    <w:p w:rsidR="00E43460" w:rsidRPr="00BD1913" w:rsidRDefault="00E43460" w:rsidP="00BD1913">
      <w:pPr>
        <w:numPr>
          <w:ilvl w:val="0"/>
          <w:numId w:val="16"/>
        </w:numPr>
        <w:spacing w:line="276" w:lineRule="auto"/>
        <w:jc w:val="both"/>
      </w:pPr>
      <w:r w:rsidRPr="00BD1913">
        <w:t>Direction Gén</w:t>
      </w:r>
      <w:r w:rsidR="005A10B6" w:rsidRPr="00BD1913">
        <w:t>érale de la Protection Civile</w:t>
      </w:r>
    </w:p>
    <w:p w:rsidR="00E43460" w:rsidRPr="00BD1913" w:rsidRDefault="00411E25" w:rsidP="00BD1913">
      <w:pPr>
        <w:numPr>
          <w:ilvl w:val="0"/>
          <w:numId w:val="16"/>
        </w:numPr>
        <w:spacing w:line="276" w:lineRule="auto"/>
        <w:jc w:val="both"/>
      </w:pPr>
      <w:r>
        <w:t>Direction Centrale des</w:t>
      </w:r>
      <w:r w:rsidR="00E43460" w:rsidRPr="00BD1913">
        <w:t xml:space="preserve"> Service</w:t>
      </w:r>
      <w:r>
        <w:t>s</w:t>
      </w:r>
      <w:r w:rsidR="00E43460" w:rsidRPr="00BD1913">
        <w:t xml:space="preserve"> de S</w:t>
      </w:r>
      <w:r w:rsidR="005A10B6" w:rsidRPr="00BD1913">
        <w:t>anté des Armées</w:t>
      </w:r>
    </w:p>
    <w:p w:rsidR="00E43460" w:rsidRPr="00BD1913" w:rsidRDefault="00E43460" w:rsidP="00BD1913">
      <w:pPr>
        <w:numPr>
          <w:ilvl w:val="0"/>
          <w:numId w:val="16"/>
        </w:numPr>
        <w:spacing w:line="276" w:lineRule="auto"/>
        <w:jc w:val="both"/>
      </w:pPr>
      <w:r w:rsidRPr="00BD1913">
        <w:t>Institut National de Prévoyanc</w:t>
      </w:r>
      <w:r w:rsidR="005A10B6" w:rsidRPr="00BD1913">
        <w:t>e Sociale</w:t>
      </w:r>
    </w:p>
    <w:p w:rsidR="00E43460" w:rsidRPr="00BD1913" w:rsidRDefault="00E43460" w:rsidP="00BD1913">
      <w:pPr>
        <w:numPr>
          <w:ilvl w:val="0"/>
          <w:numId w:val="16"/>
        </w:numPr>
        <w:spacing w:line="276" w:lineRule="auto"/>
        <w:jc w:val="both"/>
        <w:rPr>
          <w:lang w:val="en-GB"/>
        </w:rPr>
      </w:pPr>
      <w:r w:rsidRPr="00BD1913">
        <w:rPr>
          <w:lang w:val="en-GB"/>
        </w:rPr>
        <w:t xml:space="preserve">Malaria Research and Training </w:t>
      </w:r>
      <w:proofErr w:type="spellStart"/>
      <w:r w:rsidRPr="00BD1913">
        <w:rPr>
          <w:lang w:val="en-GB"/>
        </w:rPr>
        <w:t>Ce</w:t>
      </w:r>
      <w:r w:rsidR="005A10B6" w:rsidRPr="00BD1913">
        <w:rPr>
          <w:lang w:val="en-GB"/>
        </w:rPr>
        <w:t>nter</w:t>
      </w:r>
      <w:proofErr w:type="spellEnd"/>
      <w:r w:rsidR="005A10B6" w:rsidRPr="00BD1913">
        <w:rPr>
          <w:lang w:val="en-GB"/>
        </w:rPr>
        <w:t xml:space="preserve"> (MRTC)</w:t>
      </w:r>
    </w:p>
    <w:p w:rsidR="00E43460" w:rsidRDefault="00E43460" w:rsidP="00BD1913">
      <w:pPr>
        <w:numPr>
          <w:ilvl w:val="0"/>
          <w:numId w:val="16"/>
        </w:numPr>
        <w:spacing w:line="276" w:lineRule="auto"/>
        <w:jc w:val="both"/>
      </w:pPr>
      <w:r w:rsidRPr="00BD1913">
        <w:t>Direction Nationale des Services Vétérin</w:t>
      </w:r>
      <w:r w:rsidR="005A10B6" w:rsidRPr="00BD1913">
        <w:t>aires</w:t>
      </w:r>
    </w:p>
    <w:p w:rsidR="00411E25" w:rsidRDefault="00411E25" w:rsidP="00BD1913">
      <w:pPr>
        <w:numPr>
          <w:ilvl w:val="0"/>
          <w:numId w:val="16"/>
        </w:numPr>
        <w:spacing w:line="276" w:lineRule="auto"/>
        <w:jc w:val="both"/>
      </w:pPr>
      <w:r>
        <w:t>Croix-Rouge Malienne</w:t>
      </w:r>
    </w:p>
    <w:p w:rsidR="00411E25" w:rsidRDefault="00411E25" w:rsidP="00BD1913">
      <w:pPr>
        <w:numPr>
          <w:ilvl w:val="0"/>
          <w:numId w:val="16"/>
        </w:numPr>
        <w:spacing w:line="276" w:lineRule="auto"/>
        <w:jc w:val="both"/>
      </w:pPr>
      <w:r>
        <w:t xml:space="preserve">Centre National de Transfusion Sanguine </w:t>
      </w:r>
    </w:p>
    <w:p w:rsidR="00E43460" w:rsidRPr="00BD1913" w:rsidRDefault="00E43460" w:rsidP="00BD1913">
      <w:pPr>
        <w:numPr>
          <w:ilvl w:val="0"/>
          <w:numId w:val="16"/>
        </w:numPr>
        <w:spacing w:line="276" w:lineRule="auto"/>
        <w:jc w:val="both"/>
      </w:pPr>
      <w:r w:rsidRPr="00BD1913">
        <w:t>Laboratoire Central Vétér</w:t>
      </w:r>
      <w:r w:rsidR="00C867C9" w:rsidRPr="00BD1913">
        <w:t>inaire</w:t>
      </w:r>
    </w:p>
    <w:p w:rsidR="00B251AC" w:rsidRPr="00BD1913" w:rsidRDefault="00B251AC" w:rsidP="00B251AC">
      <w:pPr>
        <w:spacing w:line="276" w:lineRule="auto"/>
        <w:jc w:val="both"/>
        <w:rPr>
          <w:color w:val="000000" w:themeColor="text1"/>
        </w:rPr>
      </w:pPr>
    </w:p>
    <w:p w:rsidR="00B251AC" w:rsidRPr="00BD1913" w:rsidRDefault="00B251AC" w:rsidP="00BD1913">
      <w:pPr>
        <w:pStyle w:val="ListParagraph"/>
        <w:spacing w:after="0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BD1913">
        <w:rPr>
          <w:rFonts w:ascii="Times New Roman" w:hAnsi="Times New Roman"/>
          <w:b/>
          <w:sz w:val="24"/>
          <w:szCs w:val="24"/>
        </w:rPr>
        <w:t xml:space="preserve">Niveau régional </w:t>
      </w:r>
    </w:p>
    <w:p w:rsidR="00E43460" w:rsidRPr="00BD1913" w:rsidRDefault="00E43460" w:rsidP="00BD1913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BD1913">
        <w:rPr>
          <w:rFonts w:ascii="Times New Roman" w:hAnsi="Times New Roman"/>
          <w:sz w:val="24"/>
          <w:szCs w:val="24"/>
        </w:rPr>
        <w:t>DRS Ségou</w:t>
      </w:r>
    </w:p>
    <w:p w:rsidR="00E43460" w:rsidRPr="00BD1913" w:rsidRDefault="00E846ED" w:rsidP="00BD1913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DRS Kayes</w:t>
      </w:r>
    </w:p>
    <w:p w:rsidR="00E43460" w:rsidRPr="00BD1913" w:rsidRDefault="00E43460" w:rsidP="00BD1913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BD1913">
        <w:rPr>
          <w:rFonts w:ascii="Times New Roman" w:hAnsi="Times New Roman"/>
          <w:sz w:val="24"/>
          <w:szCs w:val="24"/>
        </w:rPr>
        <w:t>DRS Koulikoro</w:t>
      </w:r>
    </w:p>
    <w:p w:rsidR="00E43460" w:rsidRDefault="00E43460" w:rsidP="00BD1913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BD1913">
        <w:rPr>
          <w:rFonts w:ascii="Times New Roman" w:hAnsi="Times New Roman"/>
          <w:sz w:val="24"/>
          <w:szCs w:val="24"/>
        </w:rPr>
        <w:t>DRS Kidal</w:t>
      </w:r>
    </w:p>
    <w:p w:rsidR="00411E25" w:rsidRPr="00BD1913" w:rsidRDefault="00411E25" w:rsidP="00BD1913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DRS Taoudéni</w:t>
      </w:r>
    </w:p>
    <w:p w:rsidR="00E43460" w:rsidRPr="00BD1913" w:rsidRDefault="00E43460" w:rsidP="00BD1913">
      <w:pPr>
        <w:pStyle w:val="ListParagraph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E43460" w:rsidRPr="00BD1913" w:rsidRDefault="00E43460" w:rsidP="00BD1913">
      <w:pPr>
        <w:spacing w:line="276" w:lineRule="auto"/>
        <w:jc w:val="both"/>
        <w:rPr>
          <w:b/>
          <w:bCs/>
        </w:rPr>
      </w:pPr>
      <w:r w:rsidRPr="00BD1913">
        <w:rPr>
          <w:b/>
          <w:bCs/>
        </w:rPr>
        <w:t>Partenair</w:t>
      </w:r>
      <w:r w:rsidR="00BD1913">
        <w:rPr>
          <w:b/>
          <w:bCs/>
        </w:rPr>
        <w:t xml:space="preserve">es techniques et financiers </w:t>
      </w:r>
    </w:p>
    <w:p w:rsidR="00E43460" w:rsidRPr="00BD1913" w:rsidRDefault="00E43460" w:rsidP="00BD1913">
      <w:pPr>
        <w:numPr>
          <w:ilvl w:val="0"/>
          <w:numId w:val="17"/>
        </w:numPr>
        <w:spacing w:line="276" w:lineRule="auto"/>
        <w:jc w:val="both"/>
      </w:pPr>
      <w:r w:rsidRPr="00BD1913">
        <w:t xml:space="preserve">Organisation Mondiale de la Santé </w:t>
      </w:r>
    </w:p>
    <w:p w:rsidR="00E43460" w:rsidRPr="00BD1913" w:rsidRDefault="00E43460" w:rsidP="00BD1913">
      <w:pPr>
        <w:numPr>
          <w:ilvl w:val="0"/>
          <w:numId w:val="17"/>
        </w:numPr>
        <w:spacing w:line="276" w:lineRule="auto"/>
        <w:jc w:val="both"/>
      </w:pPr>
      <w:r w:rsidRPr="00BD1913">
        <w:t xml:space="preserve">CDC </w:t>
      </w:r>
    </w:p>
    <w:p w:rsidR="00E43460" w:rsidRPr="00BD1913" w:rsidRDefault="00E43460" w:rsidP="00BD1913">
      <w:pPr>
        <w:numPr>
          <w:ilvl w:val="0"/>
          <w:numId w:val="17"/>
        </w:numPr>
        <w:spacing w:line="276" w:lineRule="auto"/>
        <w:jc w:val="both"/>
      </w:pPr>
      <w:r w:rsidRPr="00BD1913">
        <w:lastRenderedPageBreak/>
        <w:t xml:space="preserve">Global </w:t>
      </w:r>
      <w:proofErr w:type="spellStart"/>
      <w:r w:rsidRPr="00BD1913">
        <w:t>Health</w:t>
      </w:r>
      <w:proofErr w:type="spellEnd"/>
      <w:r w:rsidRPr="00BD1913">
        <w:t xml:space="preserve"> Security Agenda</w:t>
      </w:r>
    </w:p>
    <w:p w:rsidR="00E43460" w:rsidRPr="00BD1913" w:rsidRDefault="00E43460" w:rsidP="00BD1913">
      <w:pPr>
        <w:numPr>
          <w:ilvl w:val="0"/>
          <w:numId w:val="17"/>
        </w:numPr>
        <w:spacing w:line="276" w:lineRule="auto"/>
        <w:jc w:val="both"/>
      </w:pPr>
      <w:r w:rsidRPr="00BD1913">
        <w:t xml:space="preserve">Fondation Mérieux </w:t>
      </w:r>
    </w:p>
    <w:p w:rsidR="00C867C9" w:rsidRPr="00BD1913" w:rsidRDefault="00472B31" w:rsidP="00BD1913">
      <w:pPr>
        <w:numPr>
          <w:ilvl w:val="0"/>
          <w:numId w:val="17"/>
        </w:numPr>
        <w:spacing w:line="276" w:lineRule="auto"/>
        <w:jc w:val="both"/>
      </w:pPr>
      <w:r>
        <w:t>Préparation  &amp; Ré</w:t>
      </w:r>
      <w:r w:rsidR="00C867C9" w:rsidRPr="00BD1913">
        <w:t>ponse</w:t>
      </w:r>
    </w:p>
    <w:p w:rsidR="00C867C9" w:rsidRPr="00BD1913" w:rsidRDefault="00C867C9" w:rsidP="00BD1913">
      <w:pPr>
        <w:spacing w:line="276" w:lineRule="auto"/>
        <w:jc w:val="both"/>
      </w:pPr>
    </w:p>
    <w:p w:rsidR="00B251AC" w:rsidRPr="00BD1913" w:rsidRDefault="00B251AC" w:rsidP="00BD1913">
      <w:pPr>
        <w:spacing w:line="276" w:lineRule="auto"/>
        <w:jc w:val="both"/>
      </w:pPr>
    </w:p>
    <w:p w:rsidR="00BD1913" w:rsidRPr="009659FE" w:rsidRDefault="00E846ED" w:rsidP="009659FE">
      <w:pPr>
        <w:spacing w:before="120" w:after="120" w:line="360" w:lineRule="auto"/>
        <w:contextualSpacing/>
        <w:jc w:val="both"/>
      </w:pPr>
      <w:r w:rsidRPr="009659FE">
        <w:t>La cérémonie d’ouverture a été présidée par l</w:t>
      </w:r>
      <w:r w:rsidR="00B251AC" w:rsidRPr="009659FE">
        <w:t xml:space="preserve">e </w:t>
      </w:r>
      <w:r w:rsidR="00472B31" w:rsidRPr="009659FE">
        <w:t>chef de la section surveillance épidémiologique représentant le directeur national de la s</w:t>
      </w:r>
      <w:r w:rsidR="00B251AC" w:rsidRPr="009659FE">
        <w:t>anté</w:t>
      </w:r>
      <w:r w:rsidRPr="009659FE">
        <w:t xml:space="preserve">. Dans </w:t>
      </w:r>
      <w:r w:rsidR="00472B31" w:rsidRPr="009659FE">
        <w:t>son</w:t>
      </w:r>
      <w:r w:rsidRPr="009659FE">
        <w:t xml:space="preserve"> allocution i</w:t>
      </w:r>
      <w:r w:rsidR="00472B31" w:rsidRPr="009659FE">
        <w:t>l a</w:t>
      </w:r>
      <w:r w:rsidR="00B251AC" w:rsidRPr="009659FE">
        <w:t xml:space="preserve"> souhaité la bienvenue aux participants et</w:t>
      </w:r>
      <w:r w:rsidR="00472B31" w:rsidRPr="009659FE">
        <w:t xml:space="preserve"> a</w:t>
      </w:r>
      <w:r w:rsidR="00B251AC" w:rsidRPr="009659FE">
        <w:t xml:space="preserve"> rappelé l’importance </w:t>
      </w:r>
      <w:r w:rsidR="009E1D19" w:rsidRPr="009659FE">
        <w:t xml:space="preserve">de </w:t>
      </w:r>
      <w:r w:rsidR="00BD1913" w:rsidRPr="009659FE">
        <w:t xml:space="preserve">cette validation. </w:t>
      </w:r>
      <w:r w:rsidR="00160B2B" w:rsidRPr="009659FE">
        <w:t xml:space="preserve">La cérémonie de clôture  a été présidée </w:t>
      </w:r>
      <w:r w:rsidR="009659FE" w:rsidRPr="009659FE">
        <w:t>par le Chef de Division Prévention et Lutte contre la maladie, représentant le directeur national de la santé</w:t>
      </w:r>
      <w:r w:rsidR="00BC7FEA">
        <w:t>, qui dans son allocution a remercié les participants pour leur contribution et leur assiduité</w:t>
      </w:r>
      <w:r w:rsidR="003905EB">
        <w:t xml:space="preserve"> pour l’atteinte des objectifs</w:t>
      </w:r>
      <w:r w:rsidR="00160B2B" w:rsidRPr="009659FE">
        <w:t xml:space="preserve">. </w:t>
      </w:r>
    </w:p>
    <w:p w:rsidR="00764DA5" w:rsidRPr="009659FE" w:rsidRDefault="00764DA5" w:rsidP="009659FE">
      <w:pPr>
        <w:spacing w:after="200" w:line="360" w:lineRule="auto"/>
        <w:jc w:val="both"/>
        <w:rPr>
          <w:b/>
        </w:rPr>
      </w:pPr>
    </w:p>
    <w:p w:rsidR="00B251AC" w:rsidRPr="009659FE" w:rsidRDefault="00B251AC" w:rsidP="009659FE">
      <w:pPr>
        <w:spacing w:after="200" w:line="360" w:lineRule="auto"/>
        <w:jc w:val="both"/>
        <w:rPr>
          <w:b/>
        </w:rPr>
      </w:pPr>
      <w:r w:rsidRPr="009659FE">
        <w:rPr>
          <w:b/>
        </w:rPr>
        <w:t>Les Objectifs :</w:t>
      </w:r>
      <w:r w:rsidR="00E846ED" w:rsidRPr="009659FE">
        <w:t xml:space="preserve"> Les objectifs  de l’atelier</w:t>
      </w:r>
      <w:r w:rsidR="00E0588B" w:rsidRPr="009659FE">
        <w:t xml:space="preserve"> </w:t>
      </w:r>
      <w:r w:rsidR="00160B2B" w:rsidRPr="009659FE">
        <w:t xml:space="preserve">étaient : </w:t>
      </w:r>
      <w:r w:rsidRPr="009659FE">
        <w:t xml:space="preserve">  </w:t>
      </w:r>
    </w:p>
    <w:p w:rsidR="00B251AC" w:rsidRPr="009659FE" w:rsidRDefault="00B251AC" w:rsidP="009659FE">
      <w:pPr>
        <w:spacing w:after="200" w:line="360" w:lineRule="auto"/>
        <w:jc w:val="both"/>
        <w:rPr>
          <w:b/>
        </w:rPr>
      </w:pPr>
      <w:r w:rsidRPr="009659FE">
        <w:rPr>
          <w:b/>
        </w:rPr>
        <w:t>Objectif général</w:t>
      </w:r>
    </w:p>
    <w:p w:rsidR="00B251AC" w:rsidRPr="009659FE" w:rsidRDefault="00764DA5" w:rsidP="009659FE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659FE">
        <w:rPr>
          <w:rFonts w:ascii="Times New Roman" w:hAnsi="Times New Roman"/>
          <w:sz w:val="24"/>
          <w:szCs w:val="24"/>
        </w:rPr>
        <w:t>Valider le guide technique national révisé de la SIMR par une équipe multi sectorielle.</w:t>
      </w:r>
    </w:p>
    <w:p w:rsidR="00B251AC" w:rsidRPr="009659FE" w:rsidRDefault="00B251AC" w:rsidP="009659FE">
      <w:pPr>
        <w:spacing w:before="240" w:after="120" w:line="360" w:lineRule="auto"/>
        <w:jc w:val="both"/>
        <w:rPr>
          <w:b/>
        </w:rPr>
      </w:pPr>
      <w:r w:rsidRPr="009659FE">
        <w:rPr>
          <w:b/>
        </w:rPr>
        <w:t>Objectifs spécifiques</w:t>
      </w:r>
    </w:p>
    <w:p w:rsidR="00764DA5" w:rsidRPr="009659FE" w:rsidRDefault="00764DA5" w:rsidP="009659FE">
      <w:pPr>
        <w:pStyle w:val="ListParagraph"/>
        <w:numPr>
          <w:ilvl w:val="0"/>
          <w:numId w:val="19"/>
        </w:num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9659FE">
        <w:rPr>
          <w:rFonts w:ascii="Times New Roman" w:eastAsia="Times New Roman" w:hAnsi="Times New Roman"/>
          <w:sz w:val="24"/>
          <w:szCs w:val="24"/>
          <w:lang w:eastAsia="fr-FR"/>
        </w:rPr>
        <w:t>S’assurer que les amendements formulés lors des précédents ateliers prenant en compte les nouvelles</w:t>
      </w:r>
      <w:r w:rsidRPr="009659FE">
        <w:rPr>
          <w:rFonts w:ascii="Times New Roman" w:hAnsi="Times New Roman"/>
          <w:sz w:val="24"/>
          <w:szCs w:val="24"/>
        </w:rPr>
        <w:t xml:space="preserve"> préoccupations, en </w:t>
      </w:r>
      <w:r w:rsidR="00856311" w:rsidRPr="009659FE">
        <w:rPr>
          <w:rFonts w:ascii="Times New Roman" w:hAnsi="Times New Roman"/>
          <w:sz w:val="24"/>
          <w:szCs w:val="24"/>
        </w:rPr>
        <w:t>matière de SIMR ont été intégré</w:t>
      </w:r>
      <w:r w:rsidRPr="009659FE">
        <w:rPr>
          <w:rFonts w:ascii="Times New Roman" w:hAnsi="Times New Roman"/>
          <w:sz w:val="24"/>
          <w:szCs w:val="24"/>
        </w:rPr>
        <w:t xml:space="preserve">s. </w:t>
      </w:r>
    </w:p>
    <w:p w:rsidR="00764DA5" w:rsidRPr="009659FE" w:rsidRDefault="00764DA5" w:rsidP="009659FE">
      <w:pPr>
        <w:pStyle w:val="Bullet1"/>
        <w:numPr>
          <w:ilvl w:val="0"/>
          <w:numId w:val="19"/>
        </w:numPr>
        <w:spacing w:after="120"/>
        <w:contextualSpacing/>
        <w:rPr>
          <w:rFonts w:ascii="Times New Roman" w:hAnsi="Times New Roman"/>
        </w:rPr>
      </w:pPr>
      <w:r w:rsidRPr="009659FE">
        <w:rPr>
          <w:rFonts w:ascii="Times New Roman" w:hAnsi="Times New Roman"/>
        </w:rPr>
        <w:t>S’assurer que la liste des maladies prioritaires a pris en compte les maladies émergentes et ré émergentes, y compris les zoonoses majeures ;</w:t>
      </w:r>
    </w:p>
    <w:p w:rsidR="00764DA5" w:rsidRPr="009659FE" w:rsidRDefault="00764DA5" w:rsidP="009659FE">
      <w:pPr>
        <w:pStyle w:val="ListParagraph"/>
        <w:numPr>
          <w:ilvl w:val="0"/>
          <w:numId w:val="19"/>
        </w:numPr>
        <w:spacing w:after="120" w:line="360" w:lineRule="auto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  <w:r w:rsidRPr="009659FE">
        <w:rPr>
          <w:rFonts w:ascii="Times New Roman" w:eastAsia="Times New Roman" w:hAnsi="Times New Roman"/>
          <w:sz w:val="24"/>
          <w:szCs w:val="24"/>
          <w:lang w:eastAsia="fr-FR"/>
        </w:rPr>
        <w:t>S’assurer que la SEBAC, les supports de collecte des données et la liste des maladies en langue</w:t>
      </w:r>
      <w:r w:rsidR="00BC2C86" w:rsidRPr="009659FE">
        <w:rPr>
          <w:rFonts w:ascii="Times New Roman" w:eastAsia="Times New Roman" w:hAnsi="Times New Roman"/>
          <w:sz w:val="24"/>
          <w:szCs w:val="24"/>
          <w:lang w:eastAsia="fr-FR"/>
        </w:rPr>
        <w:t>s</w:t>
      </w:r>
      <w:r w:rsidRPr="009659FE">
        <w:rPr>
          <w:rFonts w:ascii="Times New Roman" w:eastAsia="Times New Roman" w:hAnsi="Times New Roman"/>
          <w:sz w:val="24"/>
          <w:szCs w:val="24"/>
          <w:lang w:eastAsia="fr-FR"/>
        </w:rPr>
        <w:t xml:space="preserve"> </w:t>
      </w:r>
      <w:r w:rsidR="00BC2C86" w:rsidRPr="009659FE">
        <w:rPr>
          <w:rFonts w:ascii="Times New Roman" w:hAnsi="Times New Roman"/>
          <w:sz w:val="24"/>
          <w:szCs w:val="24"/>
        </w:rPr>
        <w:t>nationales</w:t>
      </w:r>
      <w:r w:rsidRPr="009659FE">
        <w:rPr>
          <w:rFonts w:ascii="Times New Roman" w:eastAsia="Times New Roman" w:hAnsi="Times New Roman"/>
          <w:sz w:val="24"/>
          <w:szCs w:val="24"/>
          <w:lang w:eastAsia="fr-FR"/>
        </w:rPr>
        <w:t xml:space="preserve">  sont introduits dans le guide révisé ;</w:t>
      </w:r>
    </w:p>
    <w:p w:rsidR="00764DA5" w:rsidRPr="009659FE" w:rsidRDefault="00764DA5" w:rsidP="009659FE">
      <w:pPr>
        <w:pStyle w:val="ListParagraph"/>
        <w:numPr>
          <w:ilvl w:val="0"/>
          <w:numId w:val="19"/>
        </w:num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9659FE">
        <w:rPr>
          <w:rFonts w:ascii="Times New Roman" w:eastAsia="Times New Roman" w:hAnsi="Times New Roman"/>
          <w:sz w:val="24"/>
          <w:szCs w:val="24"/>
          <w:lang w:eastAsia="fr-FR"/>
        </w:rPr>
        <w:t>S’assurer que tous les hôpitaux (CHU, régionaux) et les structures confessionnelles et privées partici</w:t>
      </w:r>
      <w:r w:rsidRPr="009659FE">
        <w:rPr>
          <w:rFonts w:ascii="Times New Roman" w:hAnsi="Times New Roman"/>
          <w:sz w:val="24"/>
          <w:szCs w:val="24"/>
        </w:rPr>
        <w:t>pent à la SIMR.</w:t>
      </w:r>
    </w:p>
    <w:p w:rsidR="00DA0BD5" w:rsidRPr="009659FE" w:rsidRDefault="00DA0BD5" w:rsidP="009659FE">
      <w:pPr>
        <w:pStyle w:val="ListParagraph"/>
        <w:spacing w:after="120"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B251AC" w:rsidRPr="009659FE" w:rsidRDefault="00764DA5" w:rsidP="009659FE">
      <w:pPr>
        <w:spacing w:after="200" w:line="360" w:lineRule="auto"/>
        <w:jc w:val="both"/>
        <w:rPr>
          <w:b/>
        </w:rPr>
      </w:pPr>
      <w:r w:rsidRPr="009659FE">
        <w:rPr>
          <w:b/>
        </w:rPr>
        <w:t xml:space="preserve"> </w:t>
      </w:r>
      <w:r w:rsidR="00B251AC" w:rsidRPr="009659FE">
        <w:rPr>
          <w:b/>
        </w:rPr>
        <w:t xml:space="preserve">La méthodologie de travail : </w:t>
      </w:r>
      <w:r w:rsidR="00B251AC" w:rsidRPr="009659FE">
        <w:t>la méthodologie utilisée portait sur des :</w:t>
      </w:r>
    </w:p>
    <w:p w:rsidR="00B251AC" w:rsidRPr="009659FE" w:rsidRDefault="00B251AC" w:rsidP="009659FE">
      <w:pPr>
        <w:numPr>
          <w:ilvl w:val="0"/>
          <w:numId w:val="7"/>
        </w:numPr>
        <w:spacing w:line="360" w:lineRule="auto"/>
        <w:jc w:val="both"/>
      </w:pPr>
      <w:r w:rsidRPr="009659FE">
        <w:t>exposés suivis de discussions ;</w:t>
      </w:r>
    </w:p>
    <w:p w:rsidR="00B251AC" w:rsidRPr="009659FE" w:rsidRDefault="00B251AC" w:rsidP="009659FE">
      <w:pPr>
        <w:numPr>
          <w:ilvl w:val="0"/>
          <w:numId w:val="7"/>
        </w:numPr>
        <w:spacing w:line="360" w:lineRule="auto"/>
        <w:jc w:val="both"/>
      </w:pPr>
      <w:r w:rsidRPr="009659FE">
        <w:t>travaux de groupes</w:t>
      </w:r>
      <w:r w:rsidR="00C3685D" w:rsidRPr="009659FE">
        <w:t xml:space="preserve"> </w:t>
      </w:r>
      <w:r w:rsidR="00E846ED" w:rsidRPr="009659FE">
        <w:t xml:space="preserve">facilités </w:t>
      </w:r>
      <w:r w:rsidR="00C3685D" w:rsidRPr="009659FE">
        <w:t>par les personnes ressources de la DNS</w:t>
      </w:r>
      <w:r w:rsidRPr="009659FE">
        <w:t> ;</w:t>
      </w:r>
    </w:p>
    <w:p w:rsidR="00B251AC" w:rsidRDefault="00B251AC" w:rsidP="009659FE">
      <w:pPr>
        <w:numPr>
          <w:ilvl w:val="0"/>
          <w:numId w:val="7"/>
        </w:numPr>
        <w:spacing w:line="360" w:lineRule="auto"/>
        <w:jc w:val="both"/>
      </w:pPr>
      <w:r w:rsidRPr="009659FE">
        <w:t>séances plénières.</w:t>
      </w:r>
    </w:p>
    <w:p w:rsidR="00902ED8" w:rsidRDefault="00902ED8" w:rsidP="005158A3">
      <w:pPr>
        <w:spacing w:line="360" w:lineRule="auto"/>
        <w:ind w:left="720"/>
        <w:jc w:val="both"/>
      </w:pPr>
    </w:p>
    <w:p w:rsidR="005158A3" w:rsidRPr="009659FE" w:rsidRDefault="005158A3" w:rsidP="005158A3">
      <w:pPr>
        <w:spacing w:line="360" w:lineRule="auto"/>
        <w:ind w:left="720"/>
        <w:jc w:val="both"/>
      </w:pPr>
      <w:bookmarkStart w:id="0" w:name="_GoBack"/>
      <w:bookmarkEnd w:id="0"/>
    </w:p>
    <w:p w:rsidR="00160B2B" w:rsidRPr="009659FE" w:rsidRDefault="00160B2B" w:rsidP="009659FE">
      <w:pPr>
        <w:spacing w:line="360" w:lineRule="auto"/>
        <w:rPr>
          <w:b/>
        </w:rPr>
      </w:pPr>
      <w:r w:rsidRPr="009659FE">
        <w:rPr>
          <w:b/>
        </w:rPr>
        <w:lastRenderedPageBreak/>
        <w:t>Thématiques</w:t>
      </w:r>
      <w:r w:rsidR="00740FC5" w:rsidRPr="009659FE">
        <w:rPr>
          <w:b/>
        </w:rPr>
        <w:t> :</w:t>
      </w:r>
      <w:r w:rsidRPr="009659FE">
        <w:rPr>
          <w:b/>
        </w:rPr>
        <w:t> </w:t>
      </w:r>
    </w:p>
    <w:p w:rsidR="00B251AC" w:rsidRPr="009659FE" w:rsidRDefault="00160B2B" w:rsidP="009659FE">
      <w:pPr>
        <w:spacing w:line="360" w:lineRule="auto"/>
      </w:pPr>
      <w:r w:rsidRPr="009659FE">
        <w:t xml:space="preserve">Les thèmes traités ont porté sur </w:t>
      </w:r>
    </w:p>
    <w:p w:rsidR="00160B2B" w:rsidRPr="009659FE" w:rsidRDefault="00160B2B" w:rsidP="00902ED8">
      <w:pPr>
        <w:pStyle w:val="BodyText2"/>
        <w:spacing w:before="120" w:after="120" w:line="276" w:lineRule="auto"/>
        <w:jc w:val="left"/>
        <w:rPr>
          <w:rFonts w:ascii="Times New Roman" w:hAnsi="Times New Roman"/>
        </w:rPr>
      </w:pPr>
      <w:r w:rsidRPr="009659FE">
        <w:rPr>
          <w:rFonts w:ascii="Times New Roman" w:hAnsi="Times New Roman"/>
        </w:rPr>
        <w:t>Section 1 : Identifier les maladies, affections et évènements prioritaires</w:t>
      </w:r>
    </w:p>
    <w:p w:rsidR="00160B2B" w:rsidRPr="009659FE" w:rsidRDefault="00160B2B" w:rsidP="00902ED8">
      <w:pPr>
        <w:pStyle w:val="TOC1"/>
        <w:spacing w:before="120" w:after="120" w:line="276" w:lineRule="auto"/>
        <w:rPr>
          <w:rFonts w:ascii="Times New Roman" w:eastAsia="Times New Roman" w:hAnsi="Times New Roman"/>
          <w:noProof w:val="0"/>
          <w:color w:val="auto"/>
          <w:sz w:val="24"/>
          <w:szCs w:val="24"/>
          <w:lang w:eastAsia="fr-FR"/>
        </w:rPr>
      </w:pPr>
      <w:r w:rsidRPr="009659FE">
        <w:rPr>
          <w:rFonts w:ascii="Times New Roman" w:eastAsia="Times New Roman" w:hAnsi="Times New Roman"/>
          <w:noProof w:val="0"/>
          <w:color w:val="auto"/>
          <w:sz w:val="24"/>
          <w:szCs w:val="24"/>
          <w:lang w:eastAsia="fr-FR"/>
        </w:rPr>
        <w:t>Section 2 : Notifier les maladies, affections et évènements prioritaires</w:t>
      </w:r>
    </w:p>
    <w:p w:rsidR="00160B2B" w:rsidRPr="009659FE" w:rsidRDefault="00160B2B" w:rsidP="00902ED8">
      <w:pPr>
        <w:pStyle w:val="TOC1"/>
        <w:spacing w:before="120" w:after="120" w:line="276" w:lineRule="auto"/>
        <w:rPr>
          <w:rFonts w:ascii="Times New Roman" w:eastAsia="Times New Roman" w:hAnsi="Times New Roman"/>
          <w:noProof w:val="0"/>
          <w:color w:val="auto"/>
          <w:sz w:val="24"/>
          <w:szCs w:val="24"/>
          <w:lang w:eastAsia="fr-FR"/>
        </w:rPr>
      </w:pPr>
      <w:r w:rsidRPr="009659FE">
        <w:rPr>
          <w:rFonts w:ascii="Times New Roman" w:eastAsia="Times New Roman" w:hAnsi="Times New Roman"/>
          <w:noProof w:val="0"/>
          <w:color w:val="auto"/>
          <w:sz w:val="24"/>
          <w:szCs w:val="24"/>
          <w:lang w:eastAsia="fr-FR"/>
        </w:rPr>
        <w:t>Section 3 </w:t>
      </w:r>
      <w:r w:rsidRPr="009659FE">
        <w:rPr>
          <w:rFonts w:ascii="Times New Roman" w:eastAsia="Times New Roman" w:hAnsi="Times New Roman"/>
          <w:noProof w:val="0"/>
          <w:webHidden/>
          <w:color w:val="auto"/>
          <w:sz w:val="24"/>
          <w:szCs w:val="24"/>
          <w:lang w:eastAsia="fr-FR"/>
        </w:rPr>
        <w:t xml:space="preserve">: </w:t>
      </w:r>
      <w:r w:rsidRPr="009659FE">
        <w:rPr>
          <w:rFonts w:ascii="Times New Roman" w:eastAsia="Times New Roman" w:hAnsi="Times New Roman"/>
          <w:noProof w:val="0"/>
          <w:color w:val="auto"/>
          <w:sz w:val="24"/>
          <w:szCs w:val="24"/>
          <w:lang w:eastAsia="fr-FR"/>
        </w:rPr>
        <w:t>Analyser les données</w:t>
      </w:r>
    </w:p>
    <w:p w:rsidR="00160B2B" w:rsidRPr="009659FE" w:rsidRDefault="00160B2B" w:rsidP="00902ED8">
      <w:pPr>
        <w:pStyle w:val="TOC1"/>
        <w:spacing w:line="276" w:lineRule="auto"/>
        <w:rPr>
          <w:rFonts w:ascii="Times New Roman" w:eastAsia="Times New Roman" w:hAnsi="Times New Roman"/>
          <w:noProof w:val="0"/>
          <w:color w:val="auto"/>
          <w:sz w:val="24"/>
          <w:szCs w:val="24"/>
          <w:lang w:eastAsia="fr-FR"/>
        </w:rPr>
      </w:pPr>
      <w:r w:rsidRPr="009659FE">
        <w:rPr>
          <w:rFonts w:ascii="Times New Roman" w:eastAsia="Times New Roman" w:hAnsi="Times New Roman"/>
          <w:noProof w:val="0"/>
          <w:color w:val="auto"/>
          <w:sz w:val="24"/>
          <w:szCs w:val="24"/>
          <w:lang w:eastAsia="fr-FR"/>
        </w:rPr>
        <w:t>Section 4 </w:t>
      </w:r>
      <w:r w:rsidRPr="009659FE">
        <w:rPr>
          <w:rFonts w:ascii="Times New Roman" w:eastAsia="Times New Roman" w:hAnsi="Times New Roman"/>
          <w:noProof w:val="0"/>
          <w:webHidden/>
          <w:color w:val="auto"/>
          <w:sz w:val="24"/>
          <w:szCs w:val="24"/>
          <w:lang w:eastAsia="fr-FR"/>
        </w:rPr>
        <w:t xml:space="preserve">: </w:t>
      </w:r>
      <w:r w:rsidRPr="009659FE">
        <w:rPr>
          <w:rFonts w:ascii="Times New Roman" w:eastAsia="Times New Roman" w:hAnsi="Times New Roman"/>
          <w:noProof w:val="0"/>
          <w:color w:val="auto"/>
          <w:sz w:val="24"/>
          <w:szCs w:val="24"/>
          <w:lang w:eastAsia="fr-FR"/>
        </w:rPr>
        <w:t>Enquêter sur les suspicions d’épidémies et autres évènements de santé publique</w:t>
      </w:r>
    </w:p>
    <w:p w:rsidR="00160B2B" w:rsidRPr="009659FE" w:rsidRDefault="00160B2B" w:rsidP="00902ED8">
      <w:pPr>
        <w:pStyle w:val="TOC1"/>
        <w:spacing w:line="276" w:lineRule="auto"/>
        <w:rPr>
          <w:rFonts w:ascii="Times New Roman" w:eastAsia="Times New Roman" w:hAnsi="Times New Roman"/>
          <w:noProof w:val="0"/>
          <w:color w:val="auto"/>
          <w:sz w:val="24"/>
          <w:szCs w:val="24"/>
          <w:lang w:eastAsia="fr-FR"/>
        </w:rPr>
      </w:pPr>
      <w:r w:rsidRPr="009659FE">
        <w:rPr>
          <w:rFonts w:ascii="Times New Roman" w:eastAsia="Times New Roman" w:hAnsi="Times New Roman"/>
          <w:noProof w:val="0"/>
          <w:color w:val="auto"/>
          <w:sz w:val="24"/>
          <w:szCs w:val="24"/>
          <w:lang w:eastAsia="fr-FR"/>
        </w:rPr>
        <w:t>Section 5 </w:t>
      </w:r>
      <w:r w:rsidRPr="009659FE">
        <w:rPr>
          <w:rFonts w:ascii="Times New Roman" w:eastAsia="Times New Roman" w:hAnsi="Times New Roman"/>
          <w:noProof w:val="0"/>
          <w:webHidden/>
          <w:color w:val="auto"/>
          <w:sz w:val="24"/>
          <w:szCs w:val="24"/>
          <w:lang w:eastAsia="fr-FR"/>
        </w:rPr>
        <w:t xml:space="preserve">: </w:t>
      </w:r>
      <w:r w:rsidRPr="009659FE">
        <w:rPr>
          <w:rFonts w:ascii="Times New Roman" w:eastAsia="Times New Roman" w:hAnsi="Times New Roman"/>
          <w:noProof w:val="0"/>
          <w:color w:val="auto"/>
          <w:sz w:val="24"/>
          <w:szCs w:val="24"/>
          <w:lang w:eastAsia="fr-FR"/>
        </w:rPr>
        <w:t>Se préparer à riposter aux épidémies et autres évènements sanitaires</w:t>
      </w:r>
    </w:p>
    <w:p w:rsidR="00160B2B" w:rsidRPr="009659FE" w:rsidRDefault="00160B2B" w:rsidP="00902ED8">
      <w:pPr>
        <w:pStyle w:val="TOC1"/>
        <w:tabs>
          <w:tab w:val="left" w:pos="1320"/>
        </w:tabs>
        <w:spacing w:line="276" w:lineRule="auto"/>
        <w:rPr>
          <w:rFonts w:ascii="Times New Roman" w:eastAsia="Times New Roman" w:hAnsi="Times New Roman"/>
          <w:noProof w:val="0"/>
          <w:color w:val="auto"/>
          <w:sz w:val="24"/>
          <w:szCs w:val="24"/>
          <w:lang w:eastAsia="fr-FR"/>
        </w:rPr>
      </w:pPr>
      <w:r w:rsidRPr="009659FE">
        <w:rPr>
          <w:rFonts w:ascii="Times New Roman" w:eastAsia="Times New Roman" w:hAnsi="Times New Roman"/>
          <w:noProof w:val="0"/>
          <w:color w:val="auto"/>
          <w:sz w:val="24"/>
          <w:szCs w:val="24"/>
          <w:lang w:eastAsia="fr-FR"/>
        </w:rPr>
        <w:t>Section 6 : Riposter aux épidémies et autres évènements sanitaires</w:t>
      </w:r>
    </w:p>
    <w:p w:rsidR="00160B2B" w:rsidRPr="009659FE" w:rsidRDefault="00160B2B" w:rsidP="00902ED8">
      <w:pPr>
        <w:pStyle w:val="TOC1"/>
        <w:tabs>
          <w:tab w:val="left" w:pos="1320"/>
        </w:tabs>
        <w:spacing w:line="276" w:lineRule="auto"/>
        <w:rPr>
          <w:rFonts w:ascii="Times New Roman" w:eastAsia="Times New Roman" w:hAnsi="Times New Roman"/>
          <w:noProof w:val="0"/>
          <w:color w:val="auto"/>
          <w:sz w:val="24"/>
          <w:szCs w:val="24"/>
          <w:lang w:eastAsia="fr-FR"/>
        </w:rPr>
      </w:pPr>
      <w:r w:rsidRPr="009659FE">
        <w:rPr>
          <w:rFonts w:ascii="Times New Roman" w:eastAsia="Times New Roman" w:hAnsi="Times New Roman"/>
          <w:noProof w:val="0"/>
          <w:color w:val="auto"/>
          <w:sz w:val="24"/>
          <w:szCs w:val="24"/>
          <w:lang w:eastAsia="fr-FR"/>
        </w:rPr>
        <w:t>Section 7 : Communiquer l’information</w:t>
      </w:r>
    </w:p>
    <w:p w:rsidR="00160B2B" w:rsidRPr="009659FE" w:rsidRDefault="00160B2B" w:rsidP="00902ED8">
      <w:pPr>
        <w:pStyle w:val="TOC1"/>
        <w:tabs>
          <w:tab w:val="left" w:pos="1320"/>
        </w:tabs>
        <w:spacing w:line="276" w:lineRule="auto"/>
        <w:rPr>
          <w:rFonts w:ascii="Calibri" w:eastAsia="Times New Roman" w:hAnsi="Calibri"/>
          <w:color w:val="auto"/>
          <w:sz w:val="24"/>
          <w:szCs w:val="24"/>
          <w:lang w:eastAsia="fr-FR"/>
        </w:rPr>
      </w:pPr>
      <w:r w:rsidRPr="009659FE">
        <w:rPr>
          <w:rFonts w:ascii="Times New Roman" w:eastAsia="Times New Roman" w:hAnsi="Times New Roman"/>
          <w:noProof w:val="0"/>
          <w:color w:val="auto"/>
          <w:sz w:val="24"/>
          <w:szCs w:val="24"/>
          <w:lang w:eastAsia="fr-FR"/>
        </w:rPr>
        <w:t>Section 8 : Suivre, évaluer et améliorer la surveillance et la riposte</w:t>
      </w:r>
    </w:p>
    <w:p w:rsidR="00740FC5" w:rsidRPr="009659FE" w:rsidRDefault="00740FC5" w:rsidP="00902ED8">
      <w:pPr>
        <w:pStyle w:val="BodyText2"/>
        <w:spacing w:before="120" w:after="120" w:line="276" w:lineRule="auto"/>
        <w:rPr>
          <w:rFonts w:ascii="Times New Roman" w:hAnsi="Times New Roman"/>
        </w:rPr>
      </w:pPr>
      <w:r w:rsidRPr="009659FE">
        <w:rPr>
          <w:rFonts w:ascii="Times New Roman" w:hAnsi="Times New Roman"/>
        </w:rPr>
        <w:t xml:space="preserve">Section 9 : Récapitulatif des directives relatives aux maladies, affections et évènements prioritaires </w:t>
      </w:r>
    </w:p>
    <w:p w:rsidR="00160B2B" w:rsidRPr="009659FE" w:rsidRDefault="00160B2B" w:rsidP="00902ED8">
      <w:pPr>
        <w:pStyle w:val="BodyText2"/>
        <w:spacing w:before="120" w:after="120" w:line="276" w:lineRule="auto"/>
        <w:rPr>
          <w:rFonts w:ascii="Times New Roman" w:hAnsi="Times New Roman"/>
        </w:rPr>
      </w:pPr>
      <w:r w:rsidRPr="009659FE">
        <w:rPr>
          <w:rFonts w:ascii="Times New Roman" w:hAnsi="Times New Roman"/>
        </w:rPr>
        <w:t xml:space="preserve">Section 10 : La Surveillance Epidémiologique à Base Communautaire (SEBAC) </w:t>
      </w:r>
    </w:p>
    <w:p w:rsidR="009659FE" w:rsidRPr="009659FE" w:rsidRDefault="00856311" w:rsidP="009659FE">
      <w:pPr>
        <w:spacing w:line="360" w:lineRule="auto"/>
      </w:pPr>
      <w:r w:rsidRPr="009659FE">
        <w:t xml:space="preserve">A </w:t>
      </w:r>
      <w:r w:rsidR="00BC2C86" w:rsidRPr="009659FE">
        <w:t>l’issu</w:t>
      </w:r>
      <w:r w:rsidR="009659FE" w:rsidRPr="009659FE">
        <w:t>e</w:t>
      </w:r>
      <w:r w:rsidR="00BC2C86" w:rsidRPr="009659FE">
        <w:t xml:space="preserve"> des travaux de groupe et </w:t>
      </w:r>
      <w:r w:rsidR="009659FE" w:rsidRPr="009659FE">
        <w:t xml:space="preserve">des </w:t>
      </w:r>
      <w:r w:rsidR="00BC2C86" w:rsidRPr="009659FE">
        <w:t>plénière</w:t>
      </w:r>
      <w:r w:rsidR="009659FE" w:rsidRPr="009659FE">
        <w:t>s,</w:t>
      </w:r>
      <w:r w:rsidR="00BC2C86" w:rsidRPr="009659FE">
        <w:t xml:space="preserve"> </w:t>
      </w:r>
      <w:r w:rsidR="009659FE" w:rsidRPr="009659FE">
        <w:t>les discussions ont porté sur :</w:t>
      </w:r>
    </w:p>
    <w:p w:rsidR="009659FE" w:rsidRPr="009659FE" w:rsidRDefault="009659FE" w:rsidP="009659FE">
      <w:pPr>
        <w:pStyle w:val="BodyText2"/>
        <w:spacing w:line="360" w:lineRule="auto"/>
        <w:ind w:left="720"/>
        <w:rPr>
          <w:rFonts w:ascii="Times New Roman" w:hAnsi="Times New Roman"/>
        </w:rPr>
      </w:pPr>
    </w:p>
    <w:p w:rsidR="00740FC5" w:rsidRPr="009659FE" w:rsidRDefault="00740FC5" w:rsidP="009659FE">
      <w:pPr>
        <w:pStyle w:val="BodyText2"/>
        <w:numPr>
          <w:ilvl w:val="0"/>
          <w:numId w:val="27"/>
        </w:numPr>
        <w:spacing w:line="360" w:lineRule="auto"/>
        <w:rPr>
          <w:rFonts w:ascii="Times New Roman" w:hAnsi="Times New Roman"/>
        </w:rPr>
      </w:pPr>
      <w:r w:rsidRPr="009659FE">
        <w:rPr>
          <w:rFonts w:ascii="Times New Roman" w:hAnsi="Times New Roman"/>
        </w:rPr>
        <w:t>Numérotation des chapitres</w:t>
      </w:r>
    </w:p>
    <w:p w:rsidR="00740FC5" w:rsidRPr="009659FE" w:rsidRDefault="00740FC5" w:rsidP="009659FE">
      <w:pPr>
        <w:pStyle w:val="BodyText2"/>
        <w:numPr>
          <w:ilvl w:val="0"/>
          <w:numId w:val="27"/>
        </w:numPr>
        <w:spacing w:line="360" w:lineRule="auto"/>
        <w:rPr>
          <w:rFonts w:ascii="Times New Roman" w:hAnsi="Times New Roman"/>
        </w:rPr>
      </w:pPr>
      <w:r w:rsidRPr="009659FE">
        <w:rPr>
          <w:rFonts w:ascii="Times New Roman" w:hAnsi="Times New Roman"/>
        </w:rPr>
        <w:t>Changement du seuil d’intervention en seuil épidémique</w:t>
      </w:r>
    </w:p>
    <w:p w:rsidR="00740FC5" w:rsidRPr="009659FE" w:rsidRDefault="00740FC5" w:rsidP="009659FE">
      <w:pPr>
        <w:pStyle w:val="BodyText2"/>
        <w:numPr>
          <w:ilvl w:val="0"/>
          <w:numId w:val="27"/>
        </w:numPr>
        <w:spacing w:line="360" w:lineRule="auto"/>
        <w:rPr>
          <w:rFonts w:ascii="Times New Roman" w:hAnsi="Times New Roman"/>
        </w:rPr>
      </w:pPr>
      <w:r w:rsidRPr="009659FE">
        <w:rPr>
          <w:rFonts w:ascii="Times New Roman" w:hAnsi="Times New Roman"/>
        </w:rPr>
        <w:t xml:space="preserve">Remplacement des établissements de soins en établissements de santé </w:t>
      </w:r>
    </w:p>
    <w:p w:rsidR="00740FC5" w:rsidRPr="009659FE" w:rsidRDefault="00740FC5" w:rsidP="009659FE">
      <w:pPr>
        <w:pStyle w:val="BodyText2"/>
        <w:numPr>
          <w:ilvl w:val="0"/>
          <w:numId w:val="27"/>
        </w:numPr>
        <w:spacing w:line="360" w:lineRule="auto"/>
        <w:rPr>
          <w:rFonts w:ascii="Times New Roman" w:hAnsi="Times New Roman"/>
        </w:rPr>
      </w:pPr>
      <w:r w:rsidRPr="009659FE">
        <w:rPr>
          <w:rFonts w:ascii="Times New Roman" w:hAnsi="Times New Roman"/>
        </w:rPr>
        <w:t>Harmonisation des tableaux en prenant en compte les pourcentages</w:t>
      </w:r>
    </w:p>
    <w:p w:rsidR="00740FC5" w:rsidRPr="009659FE" w:rsidRDefault="00125548" w:rsidP="009659FE">
      <w:pPr>
        <w:pStyle w:val="BodyText2"/>
        <w:numPr>
          <w:ilvl w:val="0"/>
          <w:numId w:val="27"/>
        </w:numPr>
        <w:spacing w:line="360" w:lineRule="auto"/>
        <w:rPr>
          <w:rFonts w:ascii="Times New Roman" w:hAnsi="Times New Roman"/>
        </w:rPr>
      </w:pPr>
      <w:r w:rsidRPr="009659FE">
        <w:rPr>
          <w:rFonts w:ascii="Times New Roman" w:hAnsi="Times New Roman"/>
        </w:rPr>
        <w:t>S</w:t>
      </w:r>
      <w:r w:rsidR="00740FC5" w:rsidRPr="009659FE">
        <w:rPr>
          <w:rFonts w:ascii="Times New Roman" w:hAnsi="Times New Roman"/>
        </w:rPr>
        <w:t>chéma du circuit de l’information du niveau périphériqu</w:t>
      </w:r>
      <w:r w:rsidRPr="009659FE">
        <w:rPr>
          <w:rFonts w:ascii="Times New Roman" w:hAnsi="Times New Roman"/>
        </w:rPr>
        <w:t>e au niveau central</w:t>
      </w:r>
      <w:r w:rsidR="00740FC5" w:rsidRPr="009659FE">
        <w:rPr>
          <w:rFonts w:ascii="Times New Roman" w:hAnsi="Times New Roman"/>
        </w:rPr>
        <w:t>.</w:t>
      </w:r>
    </w:p>
    <w:p w:rsidR="00125548" w:rsidRPr="009659FE" w:rsidRDefault="00125548" w:rsidP="009659FE">
      <w:pPr>
        <w:pStyle w:val="BodyText2"/>
        <w:numPr>
          <w:ilvl w:val="0"/>
          <w:numId w:val="27"/>
        </w:numPr>
        <w:spacing w:line="360" w:lineRule="auto"/>
        <w:jc w:val="left"/>
        <w:rPr>
          <w:rFonts w:ascii="Times New Roman" w:hAnsi="Times New Roman"/>
        </w:rPr>
      </w:pPr>
      <w:r w:rsidRPr="009659FE">
        <w:rPr>
          <w:rFonts w:ascii="Times New Roman" w:hAnsi="Times New Roman"/>
        </w:rPr>
        <w:t>D</w:t>
      </w:r>
      <w:r w:rsidR="00740FC5" w:rsidRPr="009659FE">
        <w:rPr>
          <w:rFonts w:ascii="Times New Roman" w:hAnsi="Times New Roman"/>
        </w:rPr>
        <w:t>ifférence entre létalité et taux de létalité</w:t>
      </w:r>
      <w:r w:rsidRPr="009659FE">
        <w:rPr>
          <w:rFonts w:ascii="Times New Roman" w:hAnsi="Times New Roman"/>
        </w:rPr>
        <w:t> ;</w:t>
      </w:r>
    </w:p>
    <w:p w:rsidR="00740FC5" w:rsidRPr="009659FE" w:rsidRDefault="00740FC5" w:rsidP="009659FE">
      <w:pPr>
        <w:pStyle w:val="BodyText2"/>
        <w:numPr>
          <w:ilvl w:val="0"/>
          <w:numId w:val="27"/>
        </w:numPr>
        <w:spacing w:line="360" w:lineRule="auto"/>
        <w:jc w:val="left"/>
        <w:rPr>
          <w:rFonts w:ascii="Times New Roman" w:hAnsi="Times New Roman"/>
        </w:rPr>
      </w:pPr>
      <w:r w:rsidRPr="009659FE">
        <w:rPr>
          <w:rFonts w:ascii="Times New Roman" w:hAnsi="Times New Roman"/>
        </w:rPr>
        <w:t xml:space="preserve"> </w:t>
      </w:r>
      <w:r w:rsidR="00125548" w:rsidRPr="009659FE">
        <w:rPr>
          <w:rFonts w:ascii="Times New Roman" w:hAnsi="Times New Roman"/>
        </w:rPr>
        <w:t>M</w:t>
      </w:r>
      <w:r w:rsidRPr="009659FE">
        <w:rPr>
          <w:rFonts w:ascii="Times New Roman" w:hAnsi="Times New Roman"/>
        </w:rPr>
        <w:t>ot</w:t>
      </w:r>
      <w:r w:rsidR="00581126" w:rsidRPr="009659FE">
        <w:rPr>
          <w:rFonts w:ascii="Times New Roman" w:hAnsi="Times New Roman"/>
        </w:rPr>
        <w:t>ivation pour les investigateurs ;</w:t>
      </w:r>
      <w:r w:rsidRPr="009659FE">
        <w:rPr>
          <w:rFonts w:ascii="Times New Roman" w:hAnsi="Times New Roman"/>
        </w:rPr>
        <w:t xml:space="preserve"> </w:t>
      </w:r>
    </w:p>
    <w:p w:rsidR="00125548" w:rsidRPr="009659FE" w:rsidRDefault="003B38D4" w:rsidP="009659FE">
      <w:pPr>
        <w:pStyle w:val="ListParagraph"/>
        <w:numPr>
          <w:ilvl w:val="0"/>
          <w:numId w:val="27"/>
        </w:numPr>
        <w:spacing w:after="120" w:line="360" w:lineRule="auto"/>
        <w:rPr>
          <w:rFonts w:ascii="Times New Roman" w:eastAsia="Times New Roman" w:hAnsi="Times New Roman"/>
          <w:sz w:val="24"/>
          <w:szCs w:val="24"/>
          <w:lang w:eastAsia="fr-FR"/>
        </w:rPr>
      </w:pPr>
      <w:r w:rsidRPr="009659FE">
        <w:rPr>
          <w:rFonts w:ascii="Times New Roman" w:eastAsia="Times New Roman" w:hAnsi="Times New Roman"/>
          <w:sz w:val="24"/>
          <w:szCs w:val="24"/>
          <w:lang w:eastAsia="fr-FR"/>
        </w:rPr>
        <w:t>S</w:t>
      </w:r>
      <w:r w:rsidR="00740FC5" w:rsidRPr="009659FE">
        <w:rPr>
          <w:rFonts w:ascii="Times New Roman" w:eastAsia="Times New Roman" w:hAnsi="Times New Roman"/>
          <w:sz w:val="24"/>
          <w:szCs w:val="24"/>
          <w:lang w:eastAsia="fr-FR"/>
        </w:rPr>
        <w:t xml:space="preserve">euil épidémique de la méningite dans les pays de la ceinture de la méningite </w:t>
      </w:r>
    </w:p>
    <w:p w:rsidR="00125548" w:rsidRPr="009659FE" w:rsidRDefault="00125548" w:rsidP="009659FE">
      <w:pPr>
        <w:pStyle w:val="BodyText2"/>
        <w:numPr>
          <w:ilvl w:val="0"/>
          <w:numId w:val="27"/>
        </w:numPr>
        <w:spacing w:line="360" w:lineRule="auto"/>
        <w:rPr>
          <w:rFonts w:ascii="Times New Roman" w:hAnsi="Times New Roman"/>
        </w:rPr>
      </w:pPr>
      <w:r w:rsidRPr="009659FE">
        <w:rPr>
          <w:rFonts w:ascii="Times New Roman" w:hAnsi="Times New Roman"/>
        </w:rPr>
        <w:t xml:space="preserve"> F</w:t>
      </w:r>
      <w:r w:rsidR="00740FC5" w:rsidRPr="009659FE">
        <w:rPr>
          <w:rFonts w:ascii="Times New Roman" w:hAnsi="Times New Roman"/>
        </w:rPr>
        <w:t>ormulaires de notification individuels de décès maternel, périnatal et de la malnutrition aigüe, des TIA et TIAC</w:t>
      </w:r>
      <w:r w:rsidRPr="009659FE">
        <w:rPr>
          <w:rFonts w:ascii="Times New Roman" w:hAnsi="Times New Roman"/>
        </w:rPr>
        <w:t> ;</w:t>
      </w:r>
      <w:r w:rsidR="00740FC5" w:rsidRPr="009659FE">
        <w:rPr>
          <w:rFonts w:ascii="Times New Roman" w:hAnsi="Times New Roman"/>
        </w:rPr>
        <w:t xml:space="preserve"> </w:t>
      </w:r>
    </w:p>
    <w:p w:rsidR="00581126" w:rsidRPr="009659FE" w:rsidRDefault="00180190" w:rsidP="009659FE">
      <w:pPr>
        <w:pStyle w:val="BodyText2"/>
        <w:numPr>
          <w:ilvl w:val="0"/>
          <w:numId w:val="27"/>
        </w:numPr>
        <w:spacing w:line="360" w:lineRule="auto"/>
        <w:rPr>
          <w:rFonts w:ascii="Times New Roman" w:hAnsi="Times New Roman"/>
        </w:rPr>
      </w:pPr>
      <w:r w:rsidRPr="009659FE">
        <w:rPr>
          <w:rFonts w:ascii="Times New Roman" w:hAnsi="Times New Roman"/>
        </w:rPr>
        <w:t>Reference bibliographique</w:t>
      </w:r>
    </w:p>
    <w:p w:rsidR="00581126" w:rsidRPr="009659FE" w:rsidRDefault="00581126" w:rsidP="009659FE">
      <w:pPr>
        <w:pStyle w:val="BodyText2"/>
        <w:numPr>
          <w:ilvl w:val="0"/>
          <w:numId w:val="27"/>
        </w:numPr>
        <w:spacing w:line="360" w:lineRule="auto"/>
        <w:rPr>
          <w:rFonts w:ascii="Times New Roman" w:hAnsi="Times New Roman"/>
        </w:rPr>
      </w:pPr>
      <w:r w:rsidRPr="009659FE">
        <w:rPr>
          <w:rFonts w:ascii="Times New Roman" w:hAnsi="Times New Roman"/>
        </w:rPr>
        <w:t>T</w:t>
      </w:r>
      <w:r w:rsidR="00740FC5" w:rsidRPr="009659FE">
        <w:rPr>
          <w:rFonts w:ascii="Times New Roman" w:hAnsi="Times New Roman"/>
        </w:rPr>
        <w:t>ests de diagnostic à la place de tests diagnostiques</w:t>
      </w:r>
      <w:r w:rsidRPr="009659FE">
        <w:rPr>
          <w:rFonts w:ascii="Times New Roman" w:hAnsi="Times New Roman"/>
        </w:rPr>
        <w:t> ;</w:t>
      </w:r>
    </w:p>
    <w:p w:rsidR="00581126" w:rsidRPr="009659FE" w:rsidRDefault="00581126" w:rsidP="009659FE">
      <w:pPr>
        <w:pStyle w:val="BodyText2"/>
        <w:numPr>
          <w:ilvl w:val="0"/>
          <w:numId w:val="27"/>
        </w:numPr>
        <w:spacing w:line="360" w:lineRule="auto"/>
        <w:rPr>
          <w:rFonts w:ascii="Times New Roman" w:hAnsi="Times New Roman"/>
        </w:rPr>
      </w:pPr>
      <w:r w:rsidRPr="009659FE">
        <w:rPr>
          <w:rFonts w:ascii="Times New Roman" w:hAnsi="Times New Roman"/>
        </w:rPr>
        <w:t>Ecriture en majuscule ou en minuscule de la phrase concernant les mesures de Biosécurité dans le transport des échantillons;</w:t>
      </w:r>
    </w:p>
    <w:p w:rsidR="00740FC5" w:rsidRPr="009659FE" w:rsidRDefault="00581126" w:rsidP="009659FE">
      <w:pPr>
        <w:pStyle w:val="BodyText2"/>
        <w:numPr>
          <w:ilvl w:val="0"/>
          <w:numId w:val="27"/>
        </w:numPr>
        <w:spacing w:line="360" w:lineRule="auto"/>
        <w:rPr>
          <w:rFonts w:ascii="Times New Roman" w:hAnsi="Times New Roman"/>
        </w:rPr>
      </w:pPr>
      <w:r w:rsidRPr="009659FE">
        <w:rPr>
          <w:rFonts w:ascii="Times New Roman" w:hAnsi="Times New Roman"/>
        </w:rPr>
        <w:t>P</w:t>
      </w:r>
      <w:r w:rsidR="00740FC5" w:rsidRPr="009659FE">
        <w:rPr>
          <w:rFonts w:ascii="Times New Roman" w:hAnsi="Times New Roman"/>
        </w:rPr>
        <w:t>ersonne à la place de caractéristiques individuelles.</w:t>
      </w:r>
    </w:p>
    <w:p w:rsidR="00740FC5" w:rsidRDefault="002D606B" w:rsidP="009659FE">
      <w:pPr>
        <w:pStyle w:val="BodyText2"/>
        <w:spacing w:line="360" w:lineRule="auto"/>
        <w:ind w:left="720"/>
        <w:rPr>
          <w:rFonts w:ascii="Times New Roman" w:hAnsi="Times New Roman"/>
        </w:rPr>
      </w:pPr>
      <w:r w:rsidRPr="009659FE">
        <w:rPr>
          <w:rFonts w:ascii="Times New Roman" w:hAnsi="Times New Roman"/>
        </w:rPr>
        <w:t>Des éléments de réponse satisfaisants ont été apportés à tous ces points.</w:t>
      </w:r>
    </w:p>
    <w:p w:rsidR="009659FE" w:rsidRDefault="009659FE" w:rsidP="009659FE">
      <w:pPr>
        <w:pStyle w:val="BodyText2"/>
        <w:spacing w:line="360" w:lineRule="auto"/>
        <w:ind w:left="720"/>
        <w:rPr>
          <w:rFonts w:ascii="Times New Roman" w:hAnsi="Times New Roman"/>
        </w:rPr>
      </w:pPr>
    </w:p>
    <w:p w:rsidR="009659FE" w:rsidRPr="009659FE" w:rsidRDefault="009659FE" w:rsidP="009659FE">
      <w:pPr>
        <w:pStyle w:val="BodyText2"/>
        <w:spacing w:line="360" w:lineRule="auto"/>
        <w:ind w:left="720"/>
        <w:rPr>
          <w:rFonts w:ascii="Times New Roman" w:hAnsi="Times New Roman"/>
        </w:rPr>
      </w:pPr>
    </w:p>
    <w:p w:rsidR="002D606B" w:rsidRDefault="002D606B" w:rsidP="002D606B">
      <w:pPr>
        <w:pStyle w:val="BodyText2"/>
        <w:spacing w:line="276" w:lineRule="auto"/>
        <w:rPr>
          <w:rFonts w:ascii="Times New Roman" w:hAnsi="Times New Roman"/>
          <w:b/>
        </w:rPr>
      </w:pPr>
      <w:r w:rsidRPr="002D606B">
        <w:rPr>
          <w:rFonts w:ascii="Times New Roman" w:hAnsi="Times New Roman"/>
          <w:b/>
        </w:rPr>
        <w:lastRenderedPageBreak/>
        <w:t>Recommandations</w:t>
      </w:r>
      <w:r>
        <w:rPr>
          <w:rFonts w:ascii="Times New Roman" w:hAnsi="Times New Roman"/>
          <w:b/>
        </w:rPr>
        <w:t xml:space="preserve"> : </w:t>
      </w:r>
    </w:p>
    <w:p w:rsidR="00DF632F" w:rsidRDefault="00DF632F" w:rsidP="002D606B">
      <w:pPr>
        <w:pStyle w:val="BodyText2"/>
        <w:spacing w:line="276" w:lineRule="auto"/>
        <w:rPr>
          <w:rFonts w:ascii="Times New Roman" w:hAnsi="Times New Roman"/>
        </w:rPr>
      </w:pPr>
    </w:p>
    <w:tbl>
      <w:tblPr>
        <w:tblStyle w:val="TableGrid"/>
        <w:tblW w:w="10080" w:type="dxa"/>
        <w:tblInd w:w="-72" w:type="dxa"/>
        <w:tblLook w:val="04A0" w:firstRow="1" w:lastRow="0" w:firstColumn="1" w:lastColumn="0" w:noHBand="0" w:noVBand="1"/>
      </w:tblPr>
      <w:tblGrid>
        <w:gridCol w:w="5850"/>
        <w:gridCol w:w="1530"/>
        <w:gridCol w:w="2700"/>
      </w:tblGrid>
      <w:tr w:rsidR="00DF632F" w:rsidRPr="003011C6" w:rsidTr="00902ED8">
        <w:tc>
          <w:tcPr>
            <w:tcW w:w="5850" w:type="dxa"/>
          </w:tcPr>
          <w:p w:rsidR="00DF632F" w:rsidRPr="003011C6" w:rsidRDefault="00DF632F" w:rsidP="00DF632F">
            <w:pPr>
              <w:pStyle w:val="BodyText2"/>
              <w:spacing w:line="276" w:lineRule="auto"/>
              <w:rPr>
                <w:rFonts w:ascii="Times New Roman" w:hAnsi="Times New Roman"/>
                <w:b/>
              </w:rPr>
            </w:pPr>
            <w:r w:rsidRPr="003011C6">
              <w:rPr>
                <w:rFonts w:ascii="Times New Roman" w:hAnsi="Times New Roman"/>
                <w:b/>
              </w:rPr>
              <w:t>Recommandations</w:t>
            </w:r>
          </w:p>
        </w:tc>
        <w:tc>
          <w:tcPr>
            <w:tcW w:w="1530" w:type="dxa"/>
          </w:tcPr>
          <w:p w:rsidR="00DF632F" w:rsidRPr="003011C6" w:rsidRDefault="00DF632F" w:rsidP="00DF632F">
            <w:pPr>
              <w:pStyle w:val="BodyText2"/>
              <w:spacing w:line="276" w:lineRule="auto"/>
              <w:rPr>
                <w:rFonts w:ascii="Times New Roman" w:hAnsi="Times New Roman"/>
                <w:b/>
              </w:rPr>
            </w:pPr>
            <w:r w:rsidRPr="003011C6">
              <w:rPr>
                <w:rFonts w:ascii="Times New Roman" w:hAnsi="Times New Roman"/>
                <w:b/>
              </w:rPr>
              <w:t>Responsable</w:t>
            </w:r>
          </w:p>
        </w:tc>
        <w:tc>
          <w:tcPr>
            <w:tcW w:w="2700" w:type="dxa"/>
          </w:tcPr>
          <w:p w:rsidR="00DF632F" w:rsidRPr="003011C6" w:rsidRDefault="00DF632F" w:rsidP="00DF632F">
            <w:pPr>
              <w:pStyle w:val="BodyText2"/>
              <w:spacing w:line="276" w:lineRule="auto"/>
              <w:rPr>
                <w:rFonts w:ascii="Times New Roman" w:hAnsi="Times New Roman"/>
                <w:b/>
              </w:rPr>
            </w:pPr>
            <w:r w:rsidRPr="003011C6">
              <w:rPr>
                <w:rFonts w:ascii="Times New Roman" w:hAnsi="Times New Roman"/>
                <w:b/>
              </w:rPr>
              <w:t>Délai d’exécution</w:t>
            </w:r>
          </w:p>
        </w:tc>
      </w:tr>
      <w:tr w:rsidR="00DF632F" w:rsidTr="00902ED8">
        <w:tc>
          <w:tcPr>
            <w:tcW w:w="5850" w:type="dxa"/>
          </w:tcPr>
          <w:p w:rsidR="00DF632F" w:rsidRDefault="00DF632F" w:rsidP="00DF632F">
            <w:pPr>
              <w:pStyle w:val="BodyText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Valider le Guide Technique SIMR</w:t>
            </w:r>
          </w:p>
        </w:tc>
        <w:tc>
          <w:tcPr>
            <w:tcW w:w="1530" w:type="dxa"/>
          </w:tcPr>
          <w:p w:rsidR="00DF632F" w:rsidRDefault="00DF632F" w:rsidP="00DF632F">
            <w:pPr>
              <w:pStyle w:val="BodyText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SG MSHP</w:t>
            </w:r>
          </w:p>
        </w:tc>
        <w:tc>
          <w:tcPr>
            <w:tcW w:w="2700" w:type="dxa"/>
          </w:tcPr>
          <w:p w:rsidR="00DF632F" w:rsidRDefault="00DF632F" w:rsidP="00E4793E">
            <w:pPr>
              <w:pStyle w:val="BodyText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D’ici fin </w:t>
            </w:r>
            <w:r w:rsidR="00E4793E">
              <w:rPr>
                <w:rFonts w:ascii="Times New Roman" w:hAnsi="Times New Roman"/>
              </w:rPr>
              <w:t>Août</w:t>
            </w:r>
            <w:r>
              <w:rPr>
                <w:rFonts w:ascii="Times New Roman" w:hAnsi="Times New Roman"/>
              </w:rPr>
              <w:t xml:space="preserve"> 2017</w:t>
            </w:r>
          </w:p>
        </w:tc>
      </w:tr>
      <w:tr w:rsidR="00DF632F" w:rsidTr="00902ED8">
        <w:trPr>
          <w:trHeight w:val="391"/>
        </w:trPr>
        <w:tc>
          <w:tcPr>
            <w:tcW w:w="5850" w:type="dxa"/>
          </w:tcPr>
          <w:p w:rsidR="00DF632F" w:rsidRDefault="00DF632F" w:rsidP="00DF632F">
            <w:pPr>
              <w:pStyle w:val="BodyText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Multiplier et disséminer le guide SIMR à tous les niveaux </w:t>
            </w:r>
          </w:p>
        </w:tc>
        <w:tc>
          <w:tcPr>
            <w:tcW w:w="1530" w:type="dxa"/>
          </w:tcPr>
          <w:p w:rsidR="00DF632F" w:rsidRDefault="00DF632F" w:rsidP="00DF632F">
            <w:pPr>
              <w:pStyle w:val="BodyText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DNS/SSE</w:t>
            </w:r>
          </w:p>
        </w:tc>
        <w:tc>
          <w:tcPr>
            <w:tcW w:w="2700" w:type="dxa"/>
          </w:tcPr>
          <w:p w:rsidR="00DF632F" w:rsidRDefault="003011C6" w:rsidP="00DF632F">
            <w:pPr>
              <w:pStyle w:val="BodyText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D’ici fin septembre 2017</w:t>
            </w:r>
          </w:p>
        </w:tc>
      </w:tr>
      <w:tr w:rsidR="00DF632F" w:rsidTr="00902ED8">
        <w:tc>
          <w:tcPr>
            <w:tcW w:w="5850" w:type="dxa"/>
          </w:tcPr>
          <w:p w:rsidR="00DF632F" w:rsidRDefault="00DF632F" w:rsidP="003011C6">
            <w:pPr>
              <w:pStyle w:val="BodyText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Organiser des formations en cascade pour les </w:t>
            </w:r>
            <w:r w:rsidR="003011C6">
              <w:rPr>
                <w:rFonts w:ascii="Times New Roman" w:hAnsi="Times New Roman"/>
              </w:rPr>
              <w:t xml:space="preserve">acteurs </w:t>
            </w:r>
            <w:proofErr w:type="gramStart"/>
            <w:r w:rsidR="003011C6">
              <w:rPr>
                <w:rFonts w:ascii="Times New Roman" w:hAnsi="Times New Roman"/>
              </w:rPr>
              <w:t>de One</w:t>
            </w:r>
            <w:proofErr w:type="gramEnd"/>
            <w:r w:rsidR="003011C6">
              <w:rPr>
                <w:rFonts w:ascii="Times New Roman" w:hAnsi="Times New Roman"/>
              </w:rPr>
              <w:t xml:space="preserve"> </w:t>
            </w:r>
            <w:proofErr w:type="spellStart"/>
            <w:r w:rsidR="003011C6">
              <w:rPr>
                <w:rFonts w:ascii="Times New Roman" w:hAnsi="Times New Roman"/>
              </w:rPr>
              <w:t>Health</w:t>
            </w:r>
            <w:proofErr w:type="spellEnd"/>
            <w:r>
              <w:rPr>
                <w:rFonts w:ascii="Times New Roman" w:hAnsi="Times New Roman"/>
              </w:rPr>
              <w:t xml:space="preserve"> sur le guide SIMR révisé au niveau de toutes les régions.</w:t>
            </w:r>
          </w:p>
        </w:tc>
        <w:tc>
          <w:tcPr>
            <w:tcW w:w="1530" w:type="dxa"/>
          </w:tcPr>
          <w:p w:rsidR="00DF632F" w:rsidRDefault="00DF632F" w:rsidP="00DF632F">
            <w:pPr>
              <w:pStyle w:val="BodyText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DNS/SSE </w:t>
            </w:r>
          </w:p>
        </w:tc>
        <w:tc>
          <w:tcPr>
            <w:tcW w:w="2700" w:type="dxa"/>
          </w:tcPr>
          <w:p w:rsidR="00DF632F" w:rsidRDefault="003011C6" w:rsidP="00DF632F">
            <w:pPr>
              <w:pStyle w:val="BodyText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3011C6">
              <w:rPr>
                <w:rFonts w:ascii="Times New Roman" w:hAnsi="Times New Roman"/>
                <w:vertAlign w:val="superscript"/>
              </w:rPr>
              <w:t>er</w:t>
            </w:r>
            <w:r>
              <w:rPr>
                <w:rFonts w:ascii="Times New Roman" w:hAnsi="Times New Roman"/>
              </w:rPr>
              <w:t xml:space="preserve"> trimestre 2018</w:t>
            </w:r>
          </w:p>
        </w:tc>
      </w:tr>
      <w:tr w:rsidR="00DF632F" w:rsidTr="00902ED8">
        <w:tc>
          <w:tcPr>
            <w:tcW w:w="5850" w:type="dxa"/>
          </w:tcPr>
          <w:p w:rsidR="00DF632F" w:rsidRDefault="00DF632F" w:rsidP="00DF632F">
            <w:pPr>
              <w:pStyle w:val="BodyText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Compléter la liste des maladies dans d’autres langues nationales.</w:t>
            </w:r>
          </w:p>
        </w:tc>
        <w:tc>
          <w:tcPr>
            <w:tcW w:w="1530" w:type="dxa"/>
          </w:tcPr>
          <w:p w:rsidR="00DF632F" w:rsidRDefault="00DF632F" w:rsidP="00DF632F">
            <w:pPr>
              <w:pStyle w:val="BodyText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DNS/SSE </w:t>
            </w:r>
          </w:p>
          <w:p w:rsidR="00DF632F" w:rsidRDefault="00DF632F" w:rsidP="00DF632F">
            <w:pPr>
              <w:pStyle w:val="BodyText2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700" w:type="dxa"/>
          </w:tcPr>
          <w:p w:rsidR="00DF632F" w:rsidRDefault="003011C6" w:rsidP="003011C6">
            <w:pPr>
              <w:pStyle w:val="BodyText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D’ici fin décembre 2017</w:t>
            </w:r>
          </w:p>
        </w:tc>
      </w:tr>
      <w:tr w:rsidR="002C1BE9" w:rsidTr="00902ED8">
        <w:tc>
          <w:tcPr>
            <w:tcW w:w="5850" w:type="dxa"/>
          </w:tcPr>
          <w:p w:rsidR="002C1BE9" w:rsidRDefault="002C1BE9" w:rsidP="002C1BE9">
            <w:pPr>
              <w:pStyle w:val="BodyText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Elaborer le guide national sur la SEBAC</w:t>
            </w:r>
          </w:p>
        </w:tc>
        <w:tc>
          <w:tcPr>
            <w:tcW w:w="1530" w:type="dxa"/>
          </w:tcPr>
          <w:p w:rsidR="002C1BE9" w:rsidRDefault="002C1BE9" w:rsidP="00DF632F">
            <w:pPr>
              <w:pStyle w:val="BodyText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DNS/SSE</w:t>
            </w:r>
          </w:p>
        </w:tc>
        <w:tc>
          <w:tcPr>
            <w:tcW w:w="2700" w:type="dxa"/>
          </w:tcPr>
          <w:p w:rsidR="002C1BE9" w:rsidRDefault="002C1BE9" w:rsidP="003011C6">
            <w:pPr>
              <w:pStyle w:val="BodyText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D’ici fin décembre 2017</w:t>
            </w:r>
          </w:p>
        </w:tc>
      </w:tr>
      <w:tr w:rsidR="00DF632F" w:rsidTr="00902ED8">
        <w:tc>
          <w:tcPr>
            <w:tcW w:w="5850" w:type="dxa"/>
          </w:tcPr>
          <w:p w:rsidR="00DF632F" w:rsidRDefault="0019734E" w:rsidP="0019734E">
            <w:pPr>
              <w:pStyle w:val="BodyText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Diligent</w:t>
            </w:r>
            <w:r w:rsidR="003011C6">
              <w:rPr>
                <w:rFonts w:ascii="Times New Roman" w:hAnsi="Times New Roman"/>
              </w:rPr>
              <w:t>er la mise en œuvre de la SEBAC et de la surveillance basée sur les évènements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530" w:type="dxa"/>
          </w:tcPr>
          <w:p w:rsidR="003011C6" w:rsidRDefault="003011C6" w:rsidP="003011C6">
            <w:pPr>
              <w:pStyle w:val="BodyText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DNS/SSE </w:t>
            </w:r>
          </w:p>
          <w:p w:rsidR="00DF632F" w:rsidRDefault="00DF632F" w:rsidP="00DF632F">
            <w:pPr>
              <w:pStyle w:val="BodyText2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700" w:type="dxa"/>
          </w:tcPr>
          <w:p w:rsidR="00DF632F" w:rsidRDefault="002C1BE9" w:rsidP="00DF632F">
            <w:pPr>
              <w:pStyle w:val="BodyText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3011C6">
              <w:rPr>
                <w:rFonts w:ascii="Times New Roman" w:hAnsi="Times New Roman"/>
                <w:vertAlign w:val="superscript"/>
              </w:rPr>
              <w:t>er</w:t>
            </w:r>
            <w:r>
              <w:rPr>
                <w:rFonts w:ascii="Times New Roman" w:hAnsi="Times New Roman"/>
              </w:rPr>
              <w:t xml:space="preserve"> trimestre 2018</w:t>
            </w:r>
          </w:p>
        </w:tc>
      </w:tr>
    </w:tbl>
    <w:p w:rsidR="00DF632F" w:rsidRDefault="00DF632F" w:rsidP="00DF632F">
      <w:pPr>
        <w:pStyle w:val="BodyText2"/>
        <w:spacing w:line="276" w:lineRule="auto"/>
        <w:ind w:left="495"/>
        <w:rPr>
          <w:rFonts w:ascii="Times New Roman" w:hAnsi="Times New Roman"/>
        </w:rPr>
      </w:pPr>
    </w:p>
    <w:p w:rsidR="002D606B" w:rsidRDefault="00856311" w:rsidP="002D606B">
      <w:pPr>
        <w:pStyle w:val="BodyText2"/>
        <w:numPr>
          <w:ilvl w:val="0"/>
          <w:numId w:val="17"/>
        </w:num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;</w:t>
      </w:r>
    </w:p>
    <w:p w:rsidR="00160B2B" w:rsidRPr="00160B2B" w:rsidRDefault="00160B2B" w:rsidP="00BD1913">
      <w:pPr>
        <w:spacing w:line="276" w:lineRule="auto"/>
        <w:rPr>
          <w:b/>
        </w:rPr>
      </w:pPr>
    </w:p>
    <w:p w:rsidR="005E2455" w:rsidRDefault="005E2455" w:rsidP="00E846ED">
      <w:pPr>
        <w:pStyle w:val="BodyText2"/>
        <w:spacing w:line="276" w:lineRule="auto"/>
        <w:rPr>
          <w:rFonts w:ascii="Times New Roman" w:hAnsi="Times New Roman"/>
        </w:rPr>
      </w:pPr>
    </w:p>
    <w:p w:rsidR="005E2455" w:rsidRPr="006E44BD" w:rsidRDefault="005E2455" w:rsidP="005E2455">
      <w:pPr>
        <w:pStyle w:val="BodyText2"/>
        <w:spacing w:line="276" w:lineRule="auto"/>
        <w:jc w:val="right"/>
        <w:rPr>
          <w:rFonts w:ascii="Times New Roman" w:hAnsi="Times New Roman"/>
        </w:rPr>
      </w:pPr>
      <w:proofErr w:type="spellStart"/>
      <w:r w:rsidRPr="006E44BD">
        <w:rPr>
          <w:rFonts w:ascii="Times New Roman" w:hAnsi="Times New Roman"/>
        </w:rPr>
        <w:t>Banankoro</w:t>
      </w:r>
      <w:proofErr w:type="spellEnd"/>
      <w:r w:rsidRPr="006E44BD">
        <w:rPr>
          <w:rFonts w:ascii="Times New Roman" w:hAnsi="Times New Roman"/>
        </w:rPr>
        <w:t>, le 09 Août 2017</w:t>
      </w:r>
    </w:p>
    <w:p w:rsidR="005E2455" w:rsidRPr="00885E67" w:rsidRDefault="005E2455" w:rsidP="005E2455">
      <w:pPr>
        <w:pStyle w:val="BodyText2"/>
        <w:spacing w:line="276" w:lineRule="auto"/>
        <w:rPr>
          <w:rFonts w:asciiTheme="minorHAnsi" w:hAnsiTheme="minorHAnsi" w:cstheme="minorHAnsi"/>
        </w:rPr>
      </w:pPr>
    </w:p>
    <w:p w:rsidR="005E2455" w:rsidRPr="006B76D4" w:rsidRDefault="00920709" w:rsidP="005E2455">
      <w:pPr>
        <w:spacing w:line="360" w:lineRule="auto"/>
        <w:ind w:left="6120" w:firstLine="360"/>
        <w:jc w:val="both"/>
      </w:pPr>
      <w:r>
        <w:t>Atelier</w:t>
      </w:r>
    </w:p>
    <w:p w:rsidR="00E846ED" w:rsidRDefault="00E846ED"/>
    <w:sectPr w:rsidR="00E846ED" w:rsidSect="00585D5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3720" w:rsidRDefault="00C03720" w:rsidP="00C3685D">
      <w:r>
        <w:separator/>
      </w:r>
    </w:p>
  </w:endnote>
  <w:endnote w:type="continuationSeparator" w:id="0">
    <w:p w:rsidR="00C03720" w:rsidRDefault="00C03720" w:rsidP="00C368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5359256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C3685D" w:rsidRPr="00E53C3D" w:rsidRDefault="00C3685D">
            <w:pPr>
              <w:pStyle w:val="Footer"/>
              <w:jc w:val="right"/>
            </w:pPr>
            <w:r w:rsidRPr="00E53C3D">
              <w:t xml:space="preserve">Page </w:t>
            </w:r>
            <w:r w:rsidRPr="00E53C3D">
              <w:rPr>
                <w:bCs/>
              </w:rPr>
              <w:fldChar w:fldCharType="begin"/>
            </w:r>
            <w:r w:rsidRPr="00E53C3D">
              <w:rPr>
                <w:bCs/>
              </w:rPr>
              <w:instrText xml:space="preserve"> PAGE </w:instrText>
            </w:r>
            <w:r w:rsidRPr="00E53C3D">
              <w:rPr>
                <w:bCs/>
              </w:rPr>
              <w:fldChar w:fldCharType="separate"/>
            </w:r>
            <w:r w:rsidR="005158A3">
              <w:rPr>
                <w:bCs/>
                <w:noProof/>
              </w:rPr>
              <w:t>4</w:t>
            </w:r>
            <w:r w:rsidRPr="00E53C3D">
              <w:rPr>
                <w:bCs/>
              </w:rPr>
              <w:fldChar w:fldCharType="end"/>
            </w:r>
            <w:r w:rsidRPr="00E53C3D">
              <w:t xml:space="preserve"> of </w:t>
            </w:r>
            <w:r w:rsidRPr="00E53C3D">
              <w:rPr>
                <w:bCs/>
              </w:rPr>
              <w:fldChar w:fldCharType="begin"/>
            </w:r>
            <w:r w:rsidRPr="00E53C3D">
              <w:rPr>
                <w:bCs/>
              </w:rPr>
              <w:instrText xml:space="preserve"> NUMPAGES  </w:instrText>
            </w:r>
            <w:r w:rsidRPr="00E53C3D">
              <w:rPr>
                <w:bCs/>
              </w:rPr>
              <w:fldChar w:fldCharType="separate"/>
            </w:r>
            <w:r w:rsidR="005158A3">
              <w:rPr>
                <w:bCs/>
                <w:noProof/>
              </w:rPr>
              <w:t>4</w:t>
            </w:r>
            <w:r w:rsidRPr="00E53C3D">
              <w:rPr>
                <w:bCs/>
              </w:rPr>
              <w:fldChar w:fldCharType="end"/>
            </w:r>
          </w:p>
        </w:sdtContent>
      </w:sdt>
    </w:sdtContent>
  </w:sdt>
  <w:p w:rsidR="00C3685D" w:rsidRDefault="00C3685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3720" w:rsidRDefault="00C03720" w:rsidP="00C3685D">
      <w:r>
        <w:separator/>
      </w:r>
    </w:p>
  </w:footnote>
  <w:footnote w:type="continuationSeparator" w:id="0">
    <w:p w:rsidR="00C03720" w:rsidRDefault="00C03720" w:rsidP="00C368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16363C"/>
    <w:multiLevelType w:val="hybridMultilevel"/>
    <w:tmpl w:val="91A6148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C3EEC"/>
    <w:multiLevelType w:val="hybridMultilevel"/>
    <w:tmpl w:val="25824F86"/>
    <w:lvl w:ilvl="0" w:tplc="0C0A5E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84BF2"/>
    <w:multiLevelType w:val="hybridMultilevel"/>
    <w:tmpl w:val="9E4A12C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BE356B"/>
    <w:multiLevelType w:val="hybridMultilevel"/>
    <w:tmpl w:val="0C00A19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4202C2"/>
    <w:multiLevelType w:val="hybridMultilevel"/>
    <w:tmpl w:val="9AB46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C41D33"/>
    <w:multiLevelType w:val="hybridMultilevel"/>
    <w:tmpl w:val="A9A6C3F4"/>
    <w:lvl w:ilvl="0" w:tplc="28E671CE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F0762CD"/>
    <w:multiLevelType w:val="hybridMultilevel"/>
    <w:tmpl w:val="434048B6"/>
    <w:lvl w:ilvl="0" w:tplc="28E671C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E95E74"/>
    <w:multiLevelType w:val="hybridMultilevel"/>
    <w:tmpl w:val="A0C6650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D04F16"/>
    <w:multiLevelType w:val="hybridMultilevel"/>
    <w:tmpl w:val="73D67360"/>
    <w:lvl w:ilvl="0" w:tplc="A8961A86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D456C8"/>
    <w:multiLevelType w:val="hybridMultilevel"/>
    <w:tmpl w:val="0408EC0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F97122"/>
    <w:multiLevelType w:val="hybridMultilevel"/>
    <w:tmpl w:val="4BD2345C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8A378BB"/>
    <w:multiLevelType w:val="hybridMultilevel"/>
    <w:tmpl w:val="FD460B6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DA3A96"/>
    <w:multiLevelType w:val="hybridMultilevel"/>
    <w:tmpl w:val="A488709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835E29"/>
    <w:multiLevelType w:val="hybridMultilevel"/>
    <w:tmpl w:val="60AC0590"/>
    <w:lvl w:ilvl="0" w:tplc="28E671C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9C23E4"/>
    <w:multiLevelType w:val="hybridMultilevel"/>
    <w:tmpl w:val="D806D74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8E780E"/>
    <w:multiLevelType w:val="hybridMultilevel"/>
    <w:tmpl w:val="E97E08C4"/>
    <w:lvl w:ilvl="0" w:tplc="A8961A86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F87782"/>
    <w:multiLevelType w:val="multilevel"/>
    <w:tmpl w:val="2702EA6A"/>
    <w:lvl w:ilvl="0">
      <w:numFmt w:val="bullet"/>
      <w:lvlText w:val="-"/>
      <w:lvlJc w:val="left"/>
      <w:pPr>
        <w:ind w:left="495" w:hanging="495"/>
      </w:pPr>
      <w:rPr>
        <w:rFonts w:ascii="Calibri" w:eastAsiaTheme="minorHAnsi" w:hAnsi="Calibri" w:cstheme="minorBidi" w:hint="default"/>
      </w:rPr>
    </w:lvl>
    <w:lvl w:ilvl="1">
      <w:start w:val="2"/>
      <w:numFmt w:val="decimal"/>
      <w:lvlText w:val="%1.%2."/>
      <w:lvlJc w:val="left"/>
      <w:pPr>
        <w:ind w:left="495" w:hanging="495"/>
      </w:pPr>
    </w:lvl>
    <w:lvl w:ilvl="2">
      <w:start w:val="2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7" w15:restartNumberingAfterBreak="0">
    <w:nsid w:val="43B12183"/>
    <w:multiLevelType w:val="hybridMultilevel"/>
    <w:tmpl w:val="CE5AF26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F31B84"/>
    <w:multiLevelType w:val="hybridMultilevel"/>
    <w:tmpl w:val="A732A11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83245F"/>
    <w:multiLevelType w:val="hybridMultilevel"/>
    <w:tmpl w:val="6B54E778"/>
    <w:lvl w:ilvl="0" w:tplc="040C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0383C11"/>
    <w:multiLevelType w:val="hybridMultilevel"/>
    <w:tmpl w:val="3F2E1B4E"/>
    <w:lvl w:ilvl="0" w:tplc="FFFFFFFF">
      <w:start w:val="1"/>
      <w:numFmt w:val="bullet"/>
      <w:pStyle w:val="Bullet1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53652B7"/>
    <w:multiLevelType w:val="hybridMultilevel"/>
    <w:tmpl w:val="0E788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CC0614"/>
    <w:multiLevelType w:val="hybridMultilevel"/>
    <w:tmpl w:val="9976B91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E77B9A"/>
    <w:multiLevelType w:val="multilevel"/>
    <w:tmpl w:val="9952837C"/>
    <w:lvl w:ilvl="0">
      <w:start w:val="2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24" w15:restartNumberingAfterBreak="0">
    <w:nsid w:val="6E92185F"/>
    <w:multiLevelType w:val="hybridMultilevel"/>
    <w:tmpl w:val="45AEB99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A601A8"/>
    <w:multiLevelType w:val="hybridMultilevel"/>
    <w:tmpl w:val="752C7E24"/>
    <w:lvl w:ilvl="0" w:tplc="E77408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3"/>
  </w:num>
  <w:num w:numId="3">
    <w:abstractNumId w:val="6"/>
  </w:num>
  <w:num w:numId="4">
    <w:abstractNumId w:val="7"/>
  </w:num>
  <w:num w:numId="5">
    <w:abstractNumId w:val="17"/>
  </w:num>
  <w:num w:numId="6">
    <w:abstractNumId w:val="24"/>
  </w:num>
  <w:num w:numId="7">
    <w:abstractNumId w:val="0"/>
  </w:num>
  <w:num w:numId="8">
    <w:abstractNumId w:val="9"/>
  </w:num>
  <w:num w:numId="9">
    <w:abstractNumId w:val="19"/>
  </w:num>
  <w:num w:numId="10">
    <w:abstractNumId w:val="10"/>
  </w:num>
  <w:num w:numId="11">
    <w:abstractNumId w:val="1"/>
  </w:num>
  <w:num w:numId="12">
    <w:abstractNumId w:val="2"/>
  </w:num>
  <w:num w:numId="13">
    <w:abstractNumId w:val="22"/>
  </w:num>
  <w:num w:numId="14">
    <w:abstractNumId w:val="12"/>
  </w:num>
  <w:num w:numId="15">
    <w:abstractNumId w:val="2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16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</w:num>
  <w:num w:numId="19">
    <w:abstractNumId w:val="25"/>
  </w:num>
  <w:num w:numId="20">
    <w:abstractNumId w:val="21"/>
  </w:num>
  <w:num w:numId="21">
    <w:abstractNumId w:val="18"/>
  </w:num>
  <w:num w:numId="22">
    <w:abstractNumId w:val="3"/>
  </w:num>
  <w:num w:numId="23">
    <w:abstractNumId w:val="15"/>
  </w:num>
  <w:num w:numId="24">
    <w:abstractNumId w:val="8"/>
  </w:num>
  <w:num w:numId="25">
    <w:abstractNumId w:val="4"/>
  </w:num>
  <w:num w:numId="26">
    <w:abstractNumId w:val="4"/>
  </w:num>
  <w:num w:numId="27">
    <w:abstractNumId w:val="18"/>
  </w:num>
  <w:num w:numId="28">
    <w:abstractNumId w:val="8"/>
  </w:num>
  <w:num w:numId="29">
    <w:abstractNumId w:val="14"/>
  </w:num>
  <w:num w:numId="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1AC"/>
    <w:rsid w:val="000413CC"/>
    <w:rsid w:val="0009135E"/>
    <w:rsid w:val="00091D9D"/>
    <w:rsid w:val="000E08C1"/>
    <w:rsid w:val="000F70DB"/>
    <w:rsid w:val="00125548"/>
    <w:rsid w:val="001353A5"/>
    <w:rsid w:val="00160B2B"/>
    <w:rsid w:val="00180190"/>
    <w:rsid w:val="0019734E"/>
    <w:rsid w:val="001979C7"/>
    <w:rsid w:val="001B2AAD"/>
    <w:rsid w:val="001B5D70"/>
    <w:rsid w:val="001F0CE9"/>
    <w:rsid w:val="00210982"/>
    <w:rsid w:val="002576D1"/>
    <w:rsid w:val="00273BF9"/>
    <w:rsid w:val="00276BA0"/>
    <w:rsid w:val="002A78F5"/>
    <w:rsid w:val="002C1BE9"/>
    <w:rsid w:val="002D606B"/>
    <w:rsid w:val="003011C6"/>
    <w:rsid w:val="00303C66"/>
    <w:rsid w:val="003905EB"/>
    <w:rsid w:val="003B064D"/>
    <w:rsid w:val="003B1902"/>
    <w:rsid w:val="003B38D4"/>
    <w:rsid w:val="003B572F"/>
    <w:rsid w:val="00411E25"/>
    <w:rsid w:val="00462476"/>
    <w:rsid w:val="00472B31"/>
    <w:rsid w:val="0048032F"/>
    <w:rsid w:val="004B49CE"/>
    <w:rsid w:val="005158A3"/>
    <w:rsid w:val="005625EC"/>
    <w:rsid w:val="00581126"/>
    <w:rsid w:val="00585D56"/>
    <w:rsid w:val="005A10B6"/>
    <w:rsid w:val="005E2455"/>
    <w:rsid w:val="006855E1"/>
    <w:rsid w:val="006B76D4"/>
    <w:rsid w:val="006E44BD"/>
    <w:rsid w:val="006F5B7F"/>
    <w:rsid w:val="00740FC5"/>
    <w:rsid w:val="00764DA5"/>
    <w:rsid w:val="00792BF0"/>
    <w:rsid w:val="007B1451"/>
    <w:rsid w:val="008342A0"/>
    <w:rsid w:val="008557A5"/>
    <w:rsid w:val="00856311"/>
    <w:rsid w:val="00896AA2"/>
    <w:rsid w:val="00902ED8"/>
    <w:rsid w:val="00920709"/>
    <w:rsid w:val="0092370B"/>
    <w:rsid w:val="00941EA9"/>
    <w:rsid w:val="009659FE"/>
    <w:rsid w:val="009E1D19"/>
    <w:rsid w:val="00A33EC5"/>
    <w:rsid w:val="00A675E9"/>
    <w:rsid w:val="00A831A3"/>
    <w:rsid w:val="00A835B6"/>
    <w:rsid w:val="00B06036"/>
    <w:rsid w:val="00B12793"/>
    <w:rsid w:val="00B251AC"/>
    <w:rsid w:val="00B71166"/>
    <w:rsid w:val="00B75C99"/>
    <w:rsid w:val="00BC2C86"/>
    <w:rsid w:val="00BC7FEA"/>
    <w:rsid w:val="00BD07F9"/>
    <w:rsid w:val="00BD1913"/>
    <w:rsid w:val="00BD22F3"/>
    <w:rsid w:val="00BF6F47"/>
    <w:rsid w:val="00C03720"/>
    <w:rsid w:val="00C142AC"/>
    <w:rsid w:val="00C3685D"/>
    <w:rsid w:val="00C63BF5"/>
    <w:rsid w:val="00C84299"/>
    <w:rsid w:val="00C867C9"/>
    <w:rsid w:val="00CE6D16"/>
    <w:rsid w:val="00D57E94"/>
    <w:rsid w:val="00DA0BD5"/>
    <w:rsid w:val="00DF632F"/>
    <w:rsid w:val="00E00D0A"/>
    <w:rsid w:val="00E0588B"/>
    <w:rsid w:val="00E43460"/>
    <w:rsid w:val="00E4793E"/>
    <w:rsid w:val="00E53C3D"/>
    <w:rsid w:val="00E846ED"/>
    <w:rsid w:val="00EB3901"/>
    <w:rsid w:val="00EC3C78"/>
    <w:rsid w:val="00EC739B"/>
    <w:rsid w:val="00F1708C"/>
    <w:rsid w:val="00FA17AD"/>
    <w:rsid w:val="00FF2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F513D21-F881-4FFE-A767-AD145EF98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68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B251A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51AC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BodyText2">
    <w:name w:val="Body Text 2"/>
    <w:basedOn w:val="Normal"/>
    <w:link w:val="BodyText2Char"/>
    <w:unhideWhenUsed/>
    <w:rsid w:val="00B251AC"/>
    <w:pPr>
      <w:tabs>
        <w:tab w:val="left" w:pos="13860"/>
      </w:tabs>
      <w:jc w:val="both"/>
    </w:pPr>
    <w:rPr>
      <w:rFonts w:ascii="Comic Sans MS" w:hAnsi="Comic Sans MS"/>
    </w:rPr>
  </w:style>
  <w:style w:type="character" w:customStyle="1" w:styleId="BodyText2Char">
    <w:name w:val="Body Text 2 Char"/>
    <w:basedOn w:val="DefaultParagraphFont"/>
    <w:link w:val="BodyText2"/>
    <w:rsid w:val="00B251AC"/>
    <w:rPr>
      <w:rFonts w:ascii="Comic Sans MS" w:eastAsia="Times New Roman" w:hAnsi="Comic Sans MS" w:cs="Times New Roman"/>
      <w:sz w:val="24"/>
      <w:szCs w:val="24"/>
      <w:lang w:val="fr-FR" w:eastAsia="fr-FR"/>
    </w:rPr>
  </w:style>
  <w:style w:type="paragraph" w:styleId="ListParagraph">
    <w:name w:val="List Paragraph"/>
    <w:basedOn w:val="Normal"/>
    <w:uiPriority w:val="99"/>
    <w:qFormat/>
    <w:rsid w:val="00B251A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Paragraphedeliste1">
    <w:name w:val="Paragraphe de liste1"/>
    <w:basedOn w:val="Normal"/>
    <w:qFormat/>
    <w:rsid w:val="00B251A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Bullet1">
    <w:name w:val="Bullet 1"/>
    <w:basedOn w:val="Normal"/>
    <w:rsid w:val="00764DA5"/>
    <w:pPr>
      <w:numPr>
        <w:numId w:val="18"/>
      </w:numPr>
      <w:tabs>
        <w:tab w:val="left" w:pos="720"/>
      </w:tabs>
      <w:spacing w:line="360" w:lineRule="auto"/>
      <w:ind w:left="720" w:hanging="576"/>
      <w:jc w:val="both"/>
    </w:pPr>
    <w:rPr>
      <w:rFonts w:ascii="Arial" w:hAnsi="Arial"/>
    </w:rPr>
  </w:style>
  <w:style w:type="character" w:styleId="Hyperlink">
    <w:name w:val="Hyperlink"/>
    <w:uiPriority w:val="99"/>
    <w:semiHidden/>
    <w:unhideWhenUsed/>
    <w:rsid w:val="001B2AAD"/>
    <w:rPr>
      <w:color w:val="134A81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1B2AAD"/>
    <w:pPr>
      <w:tabs>
        <w:tab w:val="right" w:leader="dot" w:pos="9350"/>
      </w:tabs>
      <w:spacing w:before="40" w:after="100" w:line="288" w:lineRule="auto"/>
      <w:jc w:val="both"/>
    </w:pPr>
    <w:rPr>
      <w:rFonts w:ascii="Arial Narrow" w:eastAsia="Calibri" w:hAnsi="Arial Narrow"/>
      <w:noProof/>
      <w:color w:val="0000FF"/>
      <w:sz w:val="26"/>
      <w:szCs w:val="26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C368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685D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6E44BD"/>
    <w:pPr>
      <w:spacing w:after="100"/>
      <w:ind w:left="240"/>
    </w:pPr>
  </w:style>
  <w:style w:type="table" w:styleId="TableGrid">
    <w:name w:val="Table Grid"/>
    <w:basedOn w:val="TableNormal"/>
    <w:uiPriority w:val="39"/>
    <w:rsid w:val="00DF63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2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0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9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5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842</Words>
  <Characters>4801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SBane</dc:creator>
  <cp:keywords/>
  <dc:description/>
  <cp:lastModifiedBy>SBane</cp:lastModifiedBy>
  <cp:revision>3</cp:revision>
  <dcterms:created xsi:type="dcterms:W3CDTF">2017-08-11T14:40:00Z</dcterms:created>
  <dcterms:modified xsi:type="dcterms:W3CDTF">2017-08-11T14:49:00Z</dcterms:modified>
</cp:coreProperties>
</file>