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A54" w:rsidRPr="00720A54" w:rsidRDefault="00720A54" w:rsidP="00720A54">
      <w:pPr>
        <w:jc w:val="both"/>
        <w:rPr>
          <w:rFonts w:ascii="Bookman Old Style" w:hAnsi="Bookman Old Style" w:cs="Times New Roman"/>
          <w:b/>
          <w:sz w:val="26"/>
          <w:szCs w:val="26"/>
          <w:lang w:val="fr-FR"/>
        </w:rPr>
      </w:pPr>
      <w:r>
        <w:rPr>
          <w:rFonts w:ascii="Bookman Old Style" w:hAnsi="Bookman Old Style" w:cs="Times New Roman"/>
          <w:b/>
          <w:sz w:val="26"/>
          <w:szCs w:val="26"/>
          <w:lang w:val="fr-FR"/>
        </w:rPr>
        <w:t>R</w:t>
      </w:r>
      <w:r w:rsidRPr="00720A54">
        <w:rPr>
          <w:rFonts w:ascii="Bookman Old Style" w:hAnsi="Bookman Old Style" w:cs="Times New Roman"/>
          <w:b/>
          <w:sz w:val="26"/>
          <w:szCs w:val="26"/>
          <w:lang w:val="fr-FR"/>
        </w:rPr>
        <w:t>encontre du groupe thématique appui</w:t>
      </w:r>
      <w:r>
        <w:rPr>
          <w:rFonts w:ascii="Bookman Old Style" w:hAnsi="Bookman Old Style" w:cs="Times New Roman"/>
          <w:b/>
          <w:sz w:val="26"/>
          <w:szCs w:val="26"/>
          <w:lang w:val="fr-FR"/>
        </w:rPr>
        <w:t xml:space="preserve"> aux</w:t>
      </w:r>
      <w:r w:rsidRPr="00720A54">
        <w:rPr>
          <w:rFonts w:ascii="Bookman Old Style" w:hAnsi="Bookman Old Style" w:cs="Times New Roman"/>
          <w:b/>
          <w:sz w:val="26"/>
          <w:szCs w:val="26"/>
          <w:lang w:val="fr-FR"/>
        </w:rPr>
        <w:t xml:space="preserve"> ressources humaines</w:t>
      </w:r>
    </w:p>
    <w:p w:rsidR="00D70D1D" w:rsidRDefault="00720A54" w:rsidP="00720A54">
      <w:pPr>
        <w:jc w:val="both"/>
        <w:rPr>
          <w:rFonts w:ascii="Bookman Old Style" w:hAnsi="Bookman Old Style" w:cs="Times New Roman"/>
          <w:b/>
          <w:sz w:val="26"/>
          <w:szCs w:val="26"/>
          <w:lang w:val="fr-FR"/>
        </w:rPr>
      </w:pPr>
      <w:r>
        <w:rPr>
          <w:rFonts w:ascii="Bookman Old Style" w:hAnsi="Bookman Old Style" w:cs="Times New Roman"/>
          <w:b/>
          <w:sz w:val="26"/>
          <w:szCs w:val="26"/>
          <w:lang w:val="fr-FR"/>
        </w:rPr>
        <w:t>Les 10 et 11 Aoû</w:t>
      </w:r>
      <w:r w:rsidRPr="00720A54">
        <w:rPr>
          <w:rFonts w:ascii="Bookman Old Style" w:hAnsi="Bookman Old Style" w:cs="Times New Roman"/>
          <w:b/>
          <w:sz w:val="26"/>
          <w:szCs w:val="26"/>
          <w:lang w:val="fr-FR"/>
        </w:rPr>
        <w:t>t 2017</w:t>
      </w:r>
    </w:p>
    <w:p w:rsidR="00720A54" w:rsidRPr="00D70D1D" w:rsidRDefault="00720A54" w:rsidP="00720A54">
      <w:pPr>
        <w:jc w:val="both"/>
        <w:rPr>
          <w:rFonts w:ascii="Bookman Old Style" w:hAnsi="Bookman Old Style" w:cs="Times New Roman"/>
          <w:b/>
          <w:sz w:val="26"/>
          <w:szCs w:val="26"/>
          <w:lang w:val="fr-FR"/>
        </w:rPr>
      </w:pPr>
      <w:r w:rsidRPr="00D820CE">
        <w:rPr>
          <w:rFonts w:ascii="Bookman Old Style" w:hAnsi="Bookman Old Style" w:cs="Times New Roman"/>
          <w:sz w:val="24"/>
          <w:szCs w:val="24"/>
          <w:lang w:val="fr-FR"/>
        </w:rPr>
        <w:t>L’an deux mille dix-sept et les dix et onze août</w:t>
      </w:r>
      <w:r w:rsidRPr="00D820CE">
        <w:rPr>
          <w:rFonts w:ascii="Bookman Old Style" w:hAnsi="Bookman Old Style" w:cs="Times New Roman"/>
          <w:sz w:val="24"/>
          <w:szCs w:val="24"/>
        </w:rPr>
        <w:t xml:space="preserve">, a débuté dans la salle de réunion de la maison des ainés de Bamako, </w:t>
      </w:r>
      <w:r w:rsidRPr="00D820CE">
        <w:rPr>
          <w:rFonts w:ascii="Bookman Old Style" w:hAnsi="Bookman Old Style" w:cs="Times New Roman"/>
          <w:b/>
          <w:sz w:val="24"/>
          <w:szCs w:val="24"/>
        </w:rPr>
        <w:t xml:space="preserve">la rencontre du groupe thématique (GT) </w:t>
      </w:r>
      <w:r w:rsidRPr="00D820CE">
        <w:rPr>
          <w:rFonts w:ascii="Bookman Old Style" w:hAnsi="Bookman Old Style" w:cs="Times New Roman"/>
          <w:sz w:val="24"/>
          <w:szCs w:val="24"/>
        </w:rPr>
        <w:t xml:space="preserve">« Appui aux ressources humaines » sous la présidence du </w:t>
      </w:r>
      <w:r w:rsidRPr="00D820CE">
        <w:rPr>
          <w:rFonts w:ascii="Bookman Old Style" w:hAnsi="Bookman Old Style"/>
        </w:rPr>
        <w:t>Dr Benoît KARAMBIRI, Chef de Division Formation, Emplois et Compétences, assurant l’intérim du Directeur des Ressources Humaines, Secteur Santé et Développement social.</w:t>
      </w:r>
    </w:p>
    <w:p w:rsidR="00720A54" w:rsidRDefault="00720A54" w:rsidP="00720A54">
      <w:pPr>
        <w:jc w:val="both"/>
        <w:rPr>
          <w:rFonts w:ascii="Bookman Old Style" w:hAnsi="Bookman Old Style" w:cs="Times New Roman"/>
          <w:sz w:val="24"/>
          <w:szCs w:val="24"/>
        </w:rPr>
      </w:pPr>
      <w:r w:rsidRPr="00D820CE">
        <w:rPr>
          <w:rFonts w:ascii="Bookman Old Style" w:hAnsi="Bookman Old Style" w:cs="Times New Roman"/>
          <w:sz w:val="24"/>
          <w:szCs w:val="24"/>
          <w:lang w:val="fr-FR"/>
        </w:rPr>
        <w:t xml:space="preserve">Elle a été organisée par la DRH avec l’appui technique et le soutien </w:t>
      </w:r>
      <w:r w:rsidRPr="00D820CE">
        <w:rPr>
          <w:rFonts w:ascii="Bookman Old Style" w:hAnsi="Bookman Old Style" w:cs="Times New Roman"/>
          <w:sz w:val="24"/>
          <w:szCs w:val="24"/>
        </w:rPr>
        <w:t>financier d’USAID/</w:t>
      </w:r>
      <w:proofErr w:type="spellStart"/>
      <w:r w:rsidRPr="00D820CE">
        <w:rPr>
          <w:rFonts w:ascii="Bookman Old Style" w:hAnsi="Bookman Old Style" w:cs="Times New Roman"/>
          <w:sz w:val="24"/>
          <w:szCs w:val="24"/>
        </w:rPr>
        <w:t>IntraHealth</w:t>
      </w:r>
      <w:proofErr w:type="spellEnd"/>
      <w:r w:rsidRPr="00D820CE">
        <w:rPr>
          <w:rFonts w:ascii="Bookman Old Style" w:hAnsi="Bookman Old Style" w:cs="Times New Roman"/>
          <w:sz w:val="24"/>
          <w:szCs w:val="24"/>
        </w:rPr>
        <w:t xml:space="preserve"> International.</w:t>
      </w:r>
    </w:p>
    <w:p w:rsidR="00720A54" w:rsidRPr="00D820CE" w:rsidRDefault="00720A54" w:rsidP="00720A54">
      <w:pPr>
        <w:pStyle w:val="Retraitcorpsdetexte2"/>
        <w:numPr>
          <w:ilvl w:val="0"/>
          <w:numId w:val="4"/>
        </w:numPr>
        <w:jc w:val="both"/>
        <w:rPr>
          <w:rFonts w:ascii="Bookman Old Style" w:hAnsi="Bookman Old Style"/>
          <w:lang w:val="fr-ML"/>
        </w:rPr>
      </w:pPr>
      <w:r w:rsidRPr="00D820CE">
        <w:rPr>
          <w:rFonts w:ascii="Bookman Old Style" w:hAnsi="Bookman Old Style"/>
          <w:lang w:val="fr-ML"/>
        </w:rPr>
        <w:t>Déroulement de l’atelier</w:t>
      </w:r>
    </w:p>
    <w:p w:rsidR="00720A54" w:rsidRPr="00D820CE" w:rsidRDefault="00720A54" w:rsidP="00720A54">
      <w:pPr>
        <w:pStyle w:val="Retraitcorpsdetexte2"/>
        <w:numPr>
          <w:ilvl w:val="0"/>
          <w:numId w:val="5"/>
        </w:numPr>
        <w:jc w:val="left"/>
        <w:rPr>
          <w:rFonts w:ascii="Bookman Old Style" w:hAnsi="Bookman Old Style"/>
          <w:lang w:val="fr-ML"/>
        </w:rPr>
      </w:pPr>
      <w:r w:rsidRPr="00D820CE">
        <w:rPr>
          <w:rFonts w:ascii="Bookman Old Style" w:hAnsi="Bookman Old Style"/>
          <w:lang w:val="fr-ML"/>
        </w:rPr>
        <w:t>Cérémonie d’ouverture</w:t>
      </w:r>
    </w:p>
    <w:p w:rsidR="00720A54" w:rsidRPr="00D820CE" w:rsidRDefault="00720A54" w:rsidP="00720A54">
      <w:pPr>
        <w:pStyle w:val="Retraitcorpsdetexte2"/>
        <w:ind w:left="-540"/>
        <w:jc w:val="both"/>
        <w:rPr>
          <w:rFonts w:ascii="Bookman Old Style" w:hAnsi="Bookman Old Style"/>
          <w:b w:val="0"/>
        </w:rPr>
      </w:pPr>
      <w:r w:rsidRPr="00D820CE">
        <w:rPr>
          <w:rFonts w:ascii="Bookman Old Style" w:hAnsi="Bookman Old Style"/>
          <w:b w:val="0"/>
        </w:rPr>
        <w:t xml:space="preserve">La cérémonie d’ouverture a été marquée par les interventions du Chef de file des Partenaires Techniques et Financiers, Dr SANGARE </w:t>
      </w:r>
      <w:proofErr w:type="spellStart"/>
      <w:r w:rsidRPr="00D820CE">
        <w:rPr>
          <w:rFonts w:ascii="Bookman Old Style" w:hAnsi="Bookman Old Style"/>
          <w:b w:val="0"/>
        </w:rPr>
        <w:t>Madina</w:t>
      </w:r>
      <w:proofErr w:type="spellEnd"/>
      <w:r w:rsidRPr="00D820CE">
        <w:rPr>
          <w:rFonts w:ascii="Bookman Old Style" w:hAnsi="Bookman Old Style"/>
          <w:b w:val="0"/>
        </w:rPr>
        <w:t xml:space="preserve"> BAH. Dans son intervention,  elle a mis l’accent sur l’importance des ressources humaines dans la mise en œuvre des projets et programmes des départements ; elle a aussi informé l’assistance de l’appui prochain de l’USAID au volet ressources humaines à travers la mise en œuvre de leur programme. </w:t>
      </w:r>
    </w:p>
    <w:p w:rsidR="00720A54" w:rsidRPr="00D820CE" w:rsidRDefault="00720A54" w:rsidP="00720A54">
      <w:pPr>
        <w:pStyle w:val="Retraitcorpsdetexte2"/>
        <w:ind w:left="-540"/>
        <w:jc w:val="both"/>
        <w:rPr>
          <w:rFonts w:ascii="Bookman Old Style" w:hAnsi="Bookman Old Style"/>
          <w:b w:val="0"/>
        </w:rPr>
      </w:pPr>
      <w:r w:rsidRPr="00D820CE">
        <w:rPr>
          <w:rFonts w:ascii="Bookman Old Style" w:hAnsi="Bookman Old Style"/>
          <w:b w:val="0"/>
        </w:rPr>
        <w:t>Ensuite, s’en est suivie l’intervention du Dr Benoît KARAMBIRI, Chef de Division Formation, Emplois et Compétences, assurant l’intérim du Directeur des Ressources Humaines, Secteur Santé et Développement social. Celui-ci après avoir souhaité la bienvenue aux participants a situé la présente réunion du Groupe Thématique «  Appui aux ressources humaines » dans son contexte et a exhorté les participants à apporter leurs contributions aux débats. Il a terminé ses propos par remercier l’ensemble des participants et surtout les PTF pour leur appui technique et leur soutien financier à la DRH.</w:t>
      </w:r>
    </w:p>
    <w:p w:rsidR="00720A54" w:rsidRPr="00D820CE" w:rsidRDefault="00720A54" w:rsidP="00720A54">
      <w:pPr>
        <w:pStyle w:val="Retraitcorpsdetexte2"/>
        <w:ind w:left="-540"/>
        <w:jc w:val="both"/>
        <w:rPr>
          <w:rFonts w:ascii="Bookman Old Style" w:hAnsi="Bookman Old Style"/>
          <w:b w:val="0"/>
        </w:rPr>
      </w:pPr>
    </w:p>
    <w:p w:rsidR="00720A54" w:rsidRPr="00D820CE" w:rsidRDefault="00720A54" w:rsidP="00720A54">
      <w:pPr>
        <w:pStyle w:val="Retraitcorpsdetexte2"/>
        <w:ind w:left="-540"/>
        <w:jc w:val="both"/>
        <w:rPr>
          <w:rFonts w:ascii="Bookman Old Style" w:hAnsi="Bookman Old Style"/>
          <w:b w:val="0"/>
        </w:rPr>
      </w:pPr>
      <w:r w:rsidRPr="00D820CE">
        <w:rPr>
          <w:rFonts w:ascii="Bookman Old Style" w:hAnsi="Bookman Old Style"/>
          <w:b w:val="0"/>
        </w:rPr>
        <w:t>L’atelier a reçu la visite du Dr Salif SAMAKE, Secrétaire Général du Ministère de la Santé et de l’Hygiène Publique qui a donné certaines orientations de Monsieur le Ministre de la Santé conformément à la Déclaration de Politique Générale du Premier Ministre à savoir : les reformes du système de santé en cours, l’apaisement du climat social, la tenue des Comptes Nationaux de Santé, la problématique de la relève du personnel partant à la retraite, l’employabilité des RH recrutées sur Fonds GAVI et Fonds Mondial, les difficultés relatives au fonctionnement  des groupes thématiques du PRODESS.</w:t>
      </w:r>
    </w:p>
    <w:p w:rsidR="00720A54" w:rsidRPr="00D820CE" w:rsidRDefault="00720A54" w:rsidP="00720A54">
      <w:pPr>
        <w:pStyle w:val="Retraitcorpsdetexte2"/>
        <w:ind w:left="-540"/>
        <w:jc w:val="both"/>
        <w:rPr>
          <w:rFonts w:ascii="Bookman Old Style" w:hAnsi="Bookman Old Style"/>
          <w:b w:val="0"/>
        </w:rPr>
      </w:pPr>
      <w:r w:rsidRPr="00D820CE">
        <w:rPr>
          <w:rFonts w:ascii="Bookman Old Style" w:hAnsi="Bookman Old Style"/>
          <w:b w:val="0"/>
        </w:rPr>
        <w:t xml:space="preserve">Le SEGAL a donné l’assurance aux participants quant à la disponibilité du Ministre de la Santé et de l’Hygiène Publique à accompagner la DRH tout au long du processus de l’élaboration des documents de politique et de plan stratégique national de développement des ressources humaines. </w:t>
      </w:r>
    </w:p>
    <w:p w:rsidR="00720A54" w:rsidRDefault="00720A54" w:rsidP="00720A54">
      <w:pPr>
        <w:pStyle w:val="Retraitcorpsdetexte2"/>
        <w:ind w:left="-540"/>
        <w:jc w:val="both"/>
        <w:rPr>
          <w:rFonts w:ascii="Bookman Old Style" w:hAnsi="Bookman Old Style"/>
          <w:b w:val="0"/>
        </w:rPr>
      </w:pPr>
      <w:r w:rsidRPr="00D820CE">
        <w:rPr>
          <w:rFonts w:ascii="Bookman Old Style" w:hAnsi="Bookman Old Style"/>
          <w:b w:val="0"/>
        </w:rPr>
        <w:t>Une minute de silence a été observée en la mémoire du Général MAKALOU par les participants à la rencontre.</w:t>
      </w:r>
    </w:p>
    <w:p w:rsidR="00720A54" w:rsidRDefault="00720A54" w:rsidP="00720A54">
      <w:pPr>
        <w:pStyle w:val="Retraitcorpsdetexte2"/>
        <w:ind w:left="-540"/>
        <w:jc w:val="both"/>
        <w:rPr>
          <w:rFonts w:ascii="Bookman Old Style" w:hAnsi="Bookman Old Style"/>
          <w:b w:val="0"/>
        </w:rPr>
      </w:pPr>
    </w:p>
    <w:p w:rsidR="00720A54" w:rsidRDefault="00720A54" w:rsidP="00720A54">
      <w:pPr>
        <w:pStyle w:val="Retraitcorpsdetexte2"/>
        <w:ind w:left="-540"/>
        <w:jc w:val="both"/>
        <w:rPr>
          <w:rFonts w:ascii="Bookman Old Style" w:hAnsi="Bookman Old Style"/>
          <w:b w:val="0"/>
        </w:rPr>
      </w:pPr>
      <w:r>
        <w:rPr>
          <w:rFonts w:ascii="Bookman Old Style" w:hAnsi="Bookman Old Style"/>
          <w:b w:val="0"/>
        </w:rPr>
        <w:t xml:space="preserve">Le dernier jour, l’atelier a eu la visite du Directeur des Ressources Humaines Dr </w:t>
      </w:r>
      <w:proofErr w:type="spellStart"/>
      <w:r>
        <w:rPr>
          <w:rFonts w:ascii="Bookman Old Style" w:hAnsi="Bookman Old Style"/>
          <w:b w:val="0"/>
        </w:rPr>
        <w:t>Idrissa</w:t>
      </w:r>
      <w:proofErr w:type="spellEnd"/>
      <w:r>
        <w:rPr>
          <w:rFonts w:ascii="Bookman Old Style" w:hAnsi="Bookman Old Style"/>
          <w:b w:val="0"/>
        </w:rPr>
        <w:t xml:space="preserve"> CISSE, qui dans son allocution a remercié la collaboration et la </w:t>
      </w:r>
      <w:r>
        <w:rPr>
          <w:rFonts w:ascii="Bookman Old Style" w:hAnsi="Bookman Old Style"/>
          <w:b w:val="0"/>
        </w:rPr>
        <w:lastRenderedPageBreak/>
        <w:t xml:space="preserve">disponibilité des acteurs du secteur privé et a apprécié l’ensemble des interventions qui ont été faites. </w:t>
      </w:r>
    </w:p>
    <w:p w:rsidR="00720A54" w:rsidRDefault="00720A54" w:rsidP="00720A54">
      <w:pPr>
        <w:pStyle w:val="Retraitcorpsdetexte2"/>
        <w:ind w:left="-540"/>
        <w:jc w:val="both"/>
        <w:rPr>
          <w:rFonts w:ascii="Bookman Old Style" w:hAnsi="Bookman Old Style"/>
          <w:b w:val="0"/>
        </w:rPr>
      </w:pPr>
    </w:p>
    <w:p w:rsidR="00720A54" w:rsidRPr="00D820CE" w:rsidRDefault="00720A54" w:rsidP="00720A54">
      <w:pPr>
        <w:pStyle w:val="Retraitcorpsdetexte2"/>
        <w:ind w:left="-540"/>
        <w:jc w:val="both"/>
        <w:rPr>
          <w:rFonts w:ascii="Bookman Old Style" w:hAnsi="Bookman Old Style"/>
          <w:b w:val="0"/>
        </w:rPr>
      </w:pPr>
      <w:r>
        <w:rPr>
          <w:rFonts w:ascii="Bookman Old Style" w:hAnsi="Bookman Old Style"/>
          <w:b w:val="0"/>
        </w:rPr>
        <w:t>La cérémonie de clôture a été présidée par Dr Benoit KARAMBIRI, représentant du Directeur des Ressources Humaines, qui a remercié l’ensemble des participants pour leur participation active aux débats et discussions, tout en leur souhaitant un bon retour dans leur foyer respectif.</w:t>
      </w:r>
    </w:p>
    <w:p w:rsidR="00720A54" w:rsidRPr="00D820CE" w:rsidRDefault="00720A54" w:rsidP="00720A54">
      <w:pPr>
        <w:pStyle w:val="Retraitcorpsdetexte2"/>
        <w:ind w:left="-540"/>
        <w:jc w:val="both"/>
        <w:rPr>
          <w:rFonts w:ascii="Bookman Old Style" w:hAnsi="Bookman Old Style"/>
          <w:b w:val="0"/>
        </w:rPr>
      </w:pPr>
    </w:p>
    <w:p w:rsidR="00720A54" w:rsidRPr="00D820CE" w:rsidRDefault="00720A54" w:rsidP="00720A54">
      <w:pPr>
        <w:pStyle w:val="Retraitcorpsdetexte2"/>
        <w:numPr>
          <w:ilvl w:val="0"/>
          <w:numId w:val="5"/>
        </w:numPr>
        <w:jc w:val="both"/>
        <w:rPr>
          <w:rFonts w:ascii="Bookman Old Style" w:hAnsi="Bookman Old Style"/>
        </w:rPr>
      </w:pPr>
      <w:r w:rsidRPr="00D820CE">
        <w:rPr>
          <w:rFonts w:ascii="Bookman Old Style" w:hAnsi="Bookman Old Style"/>
          <w:u w:val="single"/>
        </w:rPr>
        <w:t>Déroulement des travaux</w:t>
      </w:r>
      <w:r w:rsidRPr="00D820CE">
        <w:rPr>
          <w:rFonts w:ascii="Bookman Old Style" w:hAnsi="Bookman Old Style"/>
        </w:rPr>
        <w:t xml:space="preserve"> : </w:t>
      </w:r>
    </w:p>
    <w:p w:rsidR="00720A54" w:rsidRPr="00D820CE" w:rsidRDefault="00720A54" w:rsidP="00720A54">
      <w:pPr>
        <w:spacing w:after="0" w:line="240" w:lineRule="auto"/>
        <w:jc w:val="both"/>
        <w:rPr>
          <w:rFonts w:ascii="Bookman Old Style" w:hAnsi="Bookman Old Style"/>
        </w:rPr>
      </w:pPr>
      <w:r w:rsidRPr="00D820CE">
        <w:rPr>
          <w:rFonts w:ascii="Bookman Old Style" w:hAnsi="Bookman Old Style"/>
        </w:rPr>
        <w:t>La cérémonie d’ouverture a été suivie par la présentation, l’amendement et l’adoption de l’agenda et des TDR de la rencontre.</w:t>
      </w:r>
    </w:p>
    <w:p w:rsidR="00720A54" w:rsidRPr="00D820CE" w:rsidRDefault="00720A54" w:rsidP="00720A54">
      <w:pPr>
        <w:spacing w:after="0" w:line="240" w:lineRule="auto"/>
        <w:jc w:val="both"/>
        <w:rPr>
          <w:rFonts w:ascii="Bookman Old Style" w:hAnsi="Bookman Old Style" w:cs="Times New Roman"/>
          <w:sz w:val="24"/>
          <w:szCs w:val="24"/>
          <w:lang w:val="fr-FR"/>
        </w:rPr>
      </w:pPr>
    </w:p>
    <w:p w:rsidR="00720A54" w:rsidRPr="00D820CE" w:rsidRDefault="00720A54" w:rsidP="00720A54">
      <w:pPr>
        <w:spacing w:after="0" w:line="240" w:lineRule="auto"/>
        <w:jc w:val="both"/>
        <w:rPr>
          <w:rFonts w:ascii="Bookman Old Style" w:hAnsi="Bookman Old Style" w:cs="Times New Roman"/>
          <w:sz w:val="24"/>
          <w:szCs w:val="24"/>
          <w:lang w:val="fr-FR"/>
        </w:rPr>
      </w:pPr>
      <w:r w:rsidRPr="00D820CE">
        <w:rPr>
          <w:rFonts w:ascii="Bookman Old Style" w:hAnsi="Bookman Old Style" w:cs="Times New Roman"/>
          <w:sz w:val="24"/>
          <w:szCs w:val="24"/>
          <w:lang w:val="fr-FR"/>
        </w:rPr>
        <w:t xml:space="preserve">Les travaux de l’atelier se sont ensuite poursuivis par les présentations suivantes : </w:t>
      </w:r>
    </w:p>
    <w:p w:rsidR="00720A54" w:rsidRPr="00D820CE" w:rsidRDefault="00720A54" w:rsidP="00720A54">
      <w:pPr>
        <w:pStyle w:val="Paragraphedeliste"/>
        <w:numPr>
          <w:ilvl w:val="0"/>
          <w:numId w:val="1"/>
        </w:numPr>
        <w:spacing w:after="0" w:line="240" w:lineRule="auto"/>
        <w:jc w:val="both"/>
        <w:rPr>
          <w:rFonts w:ascii="Bookman Old Style" w:hAnsi="Bookman Old Style" w:cs="Times New Roman"/>
          <w:sz w:val="24"/>
          <w:szCs w:val="24"/>
          <w:lang w:val="fr-FR"/>
        </w:rPr>
      </w:pPr>
      <w:r w:rsidRPr="00D820CE">
        <w:rPr>
          <w:rFonts w:ascii="Bookman Old Style" w:hAnsi="Bookman Old Style"/>
          <w:sz w:val="24"/>
          <w:szCs w:val="24"/>
        </w:rPr>
        <w:t xml:space="preserve">Présentations des </w:t>
      </w:r>
      <w:r w:rsidRPr="00D820CE">
        <w:rPr>
          <w:rFonts w:ascii="Bookman Old Style" w:hAnsi="Bookman Old Style"/>
          <w:b/>
          <w:sz w:val="24"/>
          <w:szCs w:val="24"/>
        </w:rPr>
        <w:t>processus</w:t>
      </w:r>
      <w:r w:rsidRPr="00D820CE">
        <w:rPr>
          <w:rFonts w:ascii="Bookman Old Style" w:hAnsi="Bookman Old Style"/>
          <w:sz w:val="24"/>
          <w:szCs w:val="24"/>
        </w:rPr>
        <w:t xml:space="preserve"> et </w:t>
      </w:r>
      <w:r w:rsidRPr="00D820CE">
        <w:rPr>
          <w:rFonts w:ascii="Bookman Old Style" w:hAnsi="Bookman Old Style"/>
          <w:b/>
          <w:sz w:val="24"/>
          <w:szCs w:val="24"/>
        </w:rPr>
        <w:t>chronogramme</w:t>
      </w:r>
      <w:r w:rsidRPr="00D820CE">
        <w:rPr>
          <w:rFonts w:ascii="Bookman Old Style" w:hAnsi="Bookman Old Style"/>
          <w:sz w:val="24"/>
          <w:szCs w:val="24"/>
        </w:rPr>
        <w:t xml:space="preserve"> d’élaboration des documents de la politique et du  plan stratégique de développement des RH</w:t>
      </w:r>
      <w:r w:rsidRPr="00D820CE">
        <w:rPr>
          <w:rFonts w:ascii="Bookman Old Style" w:hAnsi="Bookman Old Style" w:cs="Times New Roman"/>
          <w:sz w:val="24"/>
          <w:szCs w:val="24"/>
          <w:lang w:val="fr-FR"/>
        </w:rPr>
        <w:t xml:space="preserve"> ; </w:t>
      </w:r>
    </w:p>
    <w:p w:rsidR="00720A54" w:rsidRPr="0061693F" w:rsidRDefault="00720A54" w:rsidP="00720A54">
      <w:pPr>
        <w:pStyle w:val="Paragraphedeliste"/>
        <w:numPr>
          <w:ilvl w:val="0"/>
          <w:numId w:val="1"/>
        </w:numPr>
        <w:spacing w:line="240" w:lineRule="auto"/>
        <w:jc w:val="both"/>
        <w:rPr>
          <w:rFonts w:ascii="Bookman Old Style" w:hAnsi="Bookman Old Style" w:cs="Times New Roman"/>
          <w:sz w:val="24"/>
          <w:szCs w:val="24"/>
          <w:lang w:val="fr-FR"/>
        </w:rPr>
      </w:pPr>
      <w:r w:rsidRPr="00D820CE">
        <w:rPr>
          <w:rFonts w:ascii="Bookman Old Style" w:hAnsi="Bookman Old Style"/>
          <w:sz w:val="24"/>
          <w:szCs w:val="24"/>
        </w:rPr>
        <w:t>Présentation des TDR pour l’élaboration de la politique et des nouveaux plans stratégiques de développement des ressources humaines</w:t>
      </w:r>
      <w:r>
        <w:rPr>
          <w:rFonts w:ascii="Bookman Old Style" w:hAnsi="Bookman Old Style"/>
          <w:sz w:val="24"/>
          <w:szCs w:val="24"/>
        </w:rPr>
        <w:t xml:space="preserve"> ; </w:t>
      </w:r>
    </w:p>
    <w:p w:rsidR="00720A54" w:rsidRPr="0061693F" w:rsidRDefault="00720A54" w:rsidP="00720A54">
      <w:pPr>
        <w:pStyle w:val="Paragraphedeliste"/>
        <w:numPr>
          <w:ilvl w:val="0"/>
          <w:numId w:val="1"/>
        </w:numPr>
        <w:spacing w:line="240" w:lineRule="auto"/>
        <w:jc w:val="both"/>
        <w:rPr>
          <w:rFonts w:ascii="Bookman Old Style" w:hAnsi="Bookman Old Style" w:cs="Times New Roman"/>
          <w:sz w:val="24"/>
          <w:szCs w:val="24"/>
          <w:lang w:val="fr-FR"/>
        </w:rPr>
      </w:pPr>
      <w:r>
        <w:rPr>
          <w:rFonts w:ascii="Bookman Old Style" w:hAnsi="Bookman Old Style"/>
          <w:sz w:val="24"/>
          <w:szCs w:val="24"/>
        </w:rPr>
        <w:t>Restitution de la mission de consultation des résultats des Comptes Nationaux des Personnels de Santé ;</w:t>
      </w:r>
    </w:p>
    <w:p w:rsidR="00720A54" w:rsidRPr="00D820CE" w:rsidRDefault="00720A54" w:rsidP="00720A54">
      <w:pPr>
        <w:pStyle w:val="Paragraphedeliste"/>
        <w:numPr>
          <w:ilvl w:val="0"/>
          <w:numId w:val="1"/>
        </w:numPr>
        <w:spacing w:line="240" w:lineRule="auto"/>
        <w:jc w:val="both"/>
        <w:rPr>
          <w:rFonts w:ascii="Bookman Old Style" w:hAnsi="Bookman Old Style" w:cs="Times New Roman"/>
          <w:sz w:val="24"/>
          <w:szCs w:val="24"/>
          <w:lang w:val="fr-FR"/>
        </w:rPr>
      </w:pPr>
      <w:r>
        <w:rPr>
          <w:rFonts w:ascii="Bookman Old Style" w:hAnsi="Bookman Old Style"/>
          <w:sz w:val="24"/>
          <w:szCs w:val="24"/>
        </w:rPr>
        <w:t>Restitution des résultats du recensement du personnel de santé du secteur privé dans le district de Bamako.</w:t>
      </w:r>
    </w:p>
    <w:p w:rsidR="00720A54" w:rsidRPr="00D820CE" w:rsidRDefault="00720A54" w:rsidP="00720A54">
      <w:pPr>
        <w:spacing w:before="240" w:line="240" w:lineRule="auto"/>
        <w:ind w:left="360"/>
        <w:jc w:val="both"/>
        <w:rPr>
          <w:rFonts w:ascii="Bookman Old Style" w:hAnsi="Bookman Old Style" w:cs="Times New Roman"/>
          <w:sz w:val="24"/>
          <w:szCs w:val="24"/>
          <w:lang w:val="fr-FR"/>
        </w:rPr>
      </w:pPr>
      <w:r w:rsidRPr="00D820CE">
        <w:rPr>
          <w:rFonts w:ascii="Bookman Old Style" w:hAnsi="Bookman Old Style" w:cs="Times New Roman"/>
          <w:sz w:val="24"/>
          <w:szCs w:val="24"/>
          <w:lang w:val="fr-FR"/>
        </w:rPr>
        <w:t xml:space="preserve">Ces présentations ont été suivies de débats, commentaires et discussions auxquelles des réponses satisfaisantes ont été apportées. </w:t>
      </w:r>
    </w:p>
    <w:p w:rsidR="00720A54" w:rsidRPr="00D820CE" w:rsidRDefault="00720A54" w:rsidP="00720A54">
      <w:pPr>
        <w:spacing w:after="0" w:line="240" w:lineRule="auto"/>
        <w:jc w:val="both"/>
        <w:rPr>
          <w:rFonts w:ascii="Bookman Old Style" w:hAnsi="Bookman Old Style" w:cs="Times New Roman"/>
          <w:sz w:val="24"/>
          <w:szCs w:val="24"/>
          <w:lang w:val="fr-FR"/>
        </w:rPr>
      </w:pPr>
      <w:r w:rsidRPr="00D820CE">
        <w:rPr>
          <w:rFonts w:ascii="Bookman Old Style" w:hAnsi="Bookman Old Style" w:cs="Times New Roman"/>
          <w:b/>
          <w:sz w:val="24"/>
          <w:szCs w:val="24"/>
          <w:lang w:val="fr-FR"/>
        </w:rPr>
        <w:t>Les points de discussions ont porté essentiellement sur</w:t>
      </w:r>
      <w:r w:rsidRPr="00D820CE">
        <w:rPr>
          <w:rFonts w:ascii="Bookman Old Style" w:hAnsi="Bookman Old Style" w:cs="Times New Roman"/>
          <w:sz w:val="24"/>
          <w:szCs w:val="24"/>
          <w:lang w:val="fr-FR"/>
        </w:rPr>
        <w:t xml:space="preserve"> : </w:t>
      </w:r>
    </w:p>
    <w:p w:rsidR="00720A54" w:rsidRPr="00D820CE" w:rsidRDefault="00720A54" w:rsidP="00720A54">
      <w:pPr>
        <w:pStyle w:val="Paragraphedeliste"/>
        <w:numPr>
          <w:ilvl w:val="0"/>
          <w:numId w:val="1"/>
        </w:numPr>
        <w:spacing w:after="0" w:line="240" w:lineRule="auto"/>
        <w:jc w:val="both"/>
        <w:rPr>
          <w:rFonts w:ascii="Bookman Old Style" w:hAnsi="Bookman Old Style" w:cs="Times New Roman"/>
          <w:sz w:val="24"/>
          <w:szCs w:val="24"/>
          <w:lang w:val="fr-FR"/>
        </w:rPr>
      </w:pPr>
      <w:r w:rsidRPr="00D820CE">
        <w:rPr>
          <w:rFonts w:ascii="Bookman Old Style" w:hAnsi="Bookman Old Style" w:cs="Times New Roman"/>
          <w:sz w:val="24"/>
          <w:szCs w:val="24"/>
          <w:lang w:val="fr-FR"/>
        </w:rPr>
        <w:t xml:space="preserve">Le recrutement et le chronogramme du consultant, le délai d’exécution de la consultation ; </w:t>
      </w:r>
    </w:p>
    <w:p w:rsidR="00720A54" w:rsidRPr="00D820CE" w:rsidRDefault="00720A54" w:rsidP="00720A54">
      <w:pPr>
        <w:pStyle w:val="Paragraphedeliste"/>
        <w:numPr>
          <w:ilvl w:val="0"/>
          <w:numId w:val="1"/>
        </w:numPr>
        <w:spacing w:before="240" w:line="240" w:lineRule="auto"/>
        <w:jc w:val="both"/>
        <w:rPr>
          <w:rFonts w:ascii="Bookman Old Style" w:hAnsi="Bookman Old Style" w:cs="Times New Roman"/>
          <w:sz w:val="24"/>
          <w:szCs w:val="24"/>
          <w:lang w:val="fr-FR"/>
        </w:rPr>
      </w:pPr>
      <w:r w:rsidRPr="00D820CE">
        <w:rPr>
          <w:rFonts w:ascii="Bookman Old Style" w:hAnsi="Bookman Old Style" w:cs="Times New Roman"/>
          <w:sz w:val="24"/>
          <w:szCs w:val="24"/>
          <w:lang w:val="fr-FR"/>
        </w:rPr>
        <w:t>Les sources de financement des activités du chronogramme  et leur disponibilité pour l’année 2017 ;</w:t>
      </w:r>
    </w:p>
    <w:p w:rsidR="00720A54" w:rsidRPr="00D820CE" w:rsidRDefault="00720A54" w:rsidP="00720A54">
      <w:pPr>
        <w:pStyle w:val="Paragraphedeliste"/>
        <w:numPr>
          <w:ilvl w:val="0"/>
          <w:numId w:val="1"/>
        </w:numPr>
        <w:spacing w:before="240" w:line="240" w:lineRule="auto"/>
        <w:jc w:val="both"/>
        <w:rPr>
          <w:rFonts w:ascii="Bookman Old Style" w:hAnsi="Bookman Old Style" w:cs="Times New Roman"/>
          <w:sz w:val="24"/>
          <w:szCs w:val="24"/>
          <w:lang w:val="fr-FR"/>
        </w:rPr>
      </w:pPr>
      <w:r w:rsidRPr="00D820CE">
        <w:rPr>
          <w:rFonts w:ascii="Bookman Old Style" w:hAnsi="Bookman Old Style" w:cs="Times New Roman"/>
          <w:sz w:val="24"/>
          <w:szCs w:val="24"/>
          <w:lang w:val="fr-FR"/>
        </w:rPr>
        <w:t>Le fonct</w:t>
      </w:r>
      <w:r>
        <w:rPr>
          <w:rFonts w:ascii="Bookman Old Style" w:hAnsi="Bookman Old Style" w:cs="Times New Roman"/>
          <w:sz w:val="24"/>
          <w:szCs w:val="24"/>
          <w:lang w:val="fr-FR"/>
        </w:rPr>
        <w:t xml:space="preserve">ionnement du Groupe Thématique, </w:t>
      </w:r>
    </w:p>
    <w:p w:rsidR="00720A54" w:rsidRPr="00D820CE" w:rsidRDefault="00720A54" w:rsidP="00720A54">
      <w:pPr>
        <w:pStyle w:val="Paragraphedeliste"/>
        <w:numPr>
          <w:ilvl w:val="0"/>
          <w:numId w:val="1"/>
        </w:numPr>
        <w:spacing w:before="240" w:line="240" w:lineRule="auto"/>
        <w:jc w:val="both"/>
        <w:rPr>
          <w:rFonts w:ascii="Bookman Old Style" w:hAnsi="Bookman Old Style" w:cs="Times New Roman"/>
          <w:sz w:val="24"/>
          <w:szCs w:val="24"/>
          <w:lang w:val="fr-FR"/>
        </w:rPr>
      </w:pPr>
      <w:r w:rsidRPr="00D820CE">
        <w:rPr>
          <w:rFonts w:ascii="Bookman Old Style" w:hAnsi="Bookman Old Style" w:cs="Times New Roman"/>
          <w:sz w:val="24"/>
          <w:szCs w:val="24"/>
          <w:lang w:val="fr-FR"/>
        </w:rPr>
        <w:t>La mise en place et le fonctionnement  de l’observatoire des ressources humaines (élaboration des questionnaires) ;</w:t>
      </w:r>
    </w:p>
    <w:p w:rsidR="00720A54" w:rsidRDefault="00720A54" w:rsidP="00720A54">
      <w:pPr>
        <w:pStyle w:val="Paragraphedeliste"/>
        <w:numPr>
          <w:ilvl w:val="0"/>
          <w:numId w:val="1"/>
        </w:numPr>
        <w:spacing w:before="240" w:line="240" w:lineRule="auto"/>
        <w:jc w:val="both"/>
        <w:rPr>
          <w:rFonts w:ascii="Bookman Old Style" w:hAnsi="Bookman Old Style" w:cs="Times New Roman"/>
          <w:sz w:val="24"/>
          <w:szCs w:val="24"/>
          <w:lang w:val="fr-FR"/>
        </w:rPr>
      </w:pPr>
      <w:r w:rsidRPr="00D820CE">
        <w:rPr>
          <w:rFonts w:ascii="Bookman Old Style" w:hAnsi="Bookman Old Style" w:cs="Times New Roman"/>
          <w:sz w:val="24"/>
          <w:szCs w:val="24"/>
          <w:lang w:val="fr-FR"/>
        </w:rPr>
        <w:t>La nécessité de l’implication des différents acteurs aux différents niveaux du système de santé (régions, cercles, communes..) au processus de l’élaboration de la politique et des nouveaux plans stratégiques nationaux de développement des ressources humaines et le partage des résultats de l’évaluation du plan</w:t>
      </w:r>
      <w:r>
        <w:rPr>
          <w:rFonts w:ascii="Bookman Old Style" w:hAnsi="Bookman Old Style" w:cs="Times New Roman"/>
          <w:sz w:val="24"/>
          <w:szCs w:val="24"/>
          <w:lang w:val="fr-FR"/>
        </w:rPr>
        <w:t xml:space="preserve"> stratégique 2009-2015</w:t>
      </w:r>
    </w:p>
    <w:p w:rsidR="00720A54" w:rsidRDefault="00720A54" w:rsidP="00720A54">
      <w:pPr>
        <w:pStyle w:val="Paragraphedeliste"/>
        <w:numPr>
          <w:ilvl w:val="0"/>
          <w:numId w:val="1"/>
        </w:numPr>
        <w:spacing w:before="240" w:line="240" w:lineRule="auto"/>
        <w:jc w:val="both"/>
        <w:rPr>
          <w:rFonts w:ascii="Bookman Old Style" w:hAnsi="Bookman Old Style" w:cs="Times New Roman"/>
          <w:sz w:val="24"/>
          <w:szCs w:val="24"/>
          <w:lang w:val="fr-FR"/>
        </w:rPr>
      </w:pPr>
      <w:r>
        <w:rPr>
          <w:rFonts w:ascii="Bookman Old Style" w:hAnsi="Bookman Old Style" w:cs="Times New Roman"/>
          <w:sz w:val="24"/>
          <w:szCs w:val="24"/>
          <w:lang w:val="fr-FR"/>
        </w:rPr>
        <w:t>La réflexion pour la programmation de la mise en place des Comptes Nationaux des Personnels de Santé du Mali afin d’obtenir la liste exacte du personnel de santé dans tous les départements ministériels car cela s’avère plus qu’une nécessité ;</w:t>
      </w:r>
    </w:p>
    <w:p w:rsidR="00720A54" w:rsidRDefault="00720A54" w:rsidP="00720A54">
      <w:pPr>
        <w:pStyle w:val="Paragraphedeliste"/>
        <w:numPr>
          <w:ilvl w:val="0"/>
          <w:numId w:val="1"/>
        </w:numPr>
        <w:spacing w:before="240" w:line="240" w:lineRule="auto"/>
        <w:jc w:val="both"/>
        <w:rPr>
          <w:rFonts w:ascii="Bookman Old Style" w:hAnsi="Bookman Old Style" w:cs="Times New Roman"/>
          <w:sz w:val="24"/>
          <w:szCs w:val="24"/>
          <w:lang w:val="fr-FR"/>
        </w:rPr>
      </w:pPr>
      <w:r>
        <w:rPr>
          <w:rFonts w:ascii="Bookman Old Style" w:hAnsi="Bookman Old Style" w:cs="Times New Roman"/>
          <w:sz w:val="24"/>
          <w:szCs w:val="24"/>
          <w:lang w:val="fr-FR"/>
        </w:rPr>
        <w:t>La problématique de certaines structures privées relative aux données et à la collaboration…</w:t>
      </w:r>
    </w:p>
    <w:p w:rsidR="00720A54" w:rsidRPr="003D17C2" w:rsidRDefault="00720A54" w:rsidP="00720A54">
      <w:pPr>
        <w:pStyle w:val="Paragraphedeliste"/>
        <w:numPr>
          <w:ilvl w:val="0"/>
          <w:numId w:val="1"/>
        </w:numPr>
        <w:spacing w:before="240" w:line="240" w:lineRule="auto"/>
        <w:jc w:val="both"/>
        <w:rPr>
          <w:rFonts w:ascii="Bookman Old Style" w:hAnsi="Bookman Old Style" w:cs="Times New Roman"/>
          <w:sz w:val="24"/>
          <w:szCs w:val="24"/>
          <w:lang w:val="fr-FR"/>
        </w:rPr>
      </w:pPr>
      <w:r>
        <w:rPr>
          <w:rFonts w:ascii="Bookman Old Style" w:hAnsi="Bookman Old Style" w:cs="Times New Roman"/>
          <w:sz w:val="24"/>
          <w:szCs w:val="24"/>
          <w:lang w:val="fr-FR"/>
        </w:rPr>
        <w:t>La prise en compte des régions dont les données du secteur privé n’ont pas encore été collectées</w:t>
      </w:r>
    </w:p>
    <w:p w:rsidR="00720A54" w:rsidRPr="00D820CE" w:rsidRDefault="00720A54" w:rsidP="00720A54">
      <w:pPr>
        <w:spacing w:line="240" w:lineRule="auto"/>
        <w:jc w:val="both"/>
        <w:rPr>
          <w:rFonts w:ascii="Bookman Old Style" w:hAnsi="Bookman Old Style" w:cs="Times New Roman"/>
          <w:sz w:val="24"/>
          <w:szCs w:val="24"/>
          <w:lang w:val="fr-FR"/>
        </w:rPr>
      </w:pPr>
      <w:r w:rsidRPr="00D820CE">
        <w:rPr>
          <w:rFonts w:ascii="Bookman Old Style" w:hAnsi="Bookman Old Style" w:cs="Times New Roman"/>
          <w:sz w:val="24"/>
          <w:szCs w:val="24"/>
          <w:lang w:val="fr-FR"/>
        </w:rPr>
        <w:lastRenderedPageBreak/>
        <w:t xml:space="preserve">Des discussions, il est apparu la nécessité d’élaborer trois termes de référence destinés à l’élaboration </w:t>
      </w:r>
      <w:r w:rsidRPr="00D820CE">
        <w:rPr>
          <w:rFonts w:ascii="Bookman Old Style" w:hAnsi="Bookman Old Style"/>
          <w:sz w:val="24"/>
          <w:szCs w:val="24"/>
        </w:rPr>
        <w:t xml:space="preserve">de la politique et des plans stratégiques de développement des ressources humaines 2018-2022, au consultant et aux </w:t>
      </w:r>
      <w:r w:rsidRPr="00D820CE">
        <w:rPr>
          <w:rFonts w:ascii="Bookman Old Style" w:hAnsi="Bookman Old Style" w:cs="Times New Roman"/>
          <w:sz w:val="24"/>
          <w:szCs w:val="24"/>
          <w:lang w:val="fr-FR"/>
        </w:rPr>
        <w:t>groupes d’experts.</w:t>
      </w:r>
    </w:p>
    <w:p w:rsidR="00720A54" w:rsidRPr="00D820CE" w:rsidRDefault="00720A54" w:rsidP="00720A54">
      <w:pPr>
        <w:spacing w:after="0" w:line="240" w:lineRule="auto"/>
        <w:jc w:val="both"/>
        <w:rPr>
          <w:rFonts w:ascii="Bookman Old Style" w:hAnsi="Bookman Old Style" w:cs="Times New Roman"/>
          <w:sz w:val="24"/>
          <w:szCs w:val="24"/>
          <w:lang w:val="fr-FR"/>
        </w:rPr>
      </w:pPr>
      <w:r w:rsidRPr="00D820CE">
        <w:rPr>
          <w:rFonts w:ascii="Bookman Old Style" w:hAnsi="Bookman Old Style" w:cs="Times New Roman"/>
          <w:sz w:val="24"/>
          <w:szCs w:val="24"/>
          <w:lang w:val="fr-FR"/>
        </w:rPr>
        <w:t xml:space="preserve">Ainsi, trois (3) groupes de travail ont été constitués pour : </w:t>
      </w:r>
    </w:p>
    <w:p w:rsidR="00720A54" w:rsidRPr="00D820CE" w:rsidRDefault="00720A54" w:rsidP="00720A54">
      <w:pPr>
        <w:pStyle w:val="Paragraphedeliste"/>
        <w:numPr>
          <w:ilvl w:val="0"/>
          <w:numId w:val="1"/>
        </w:numPr>
        <w:spacing w:before="240" w:line="240" w:lineRule="auto"/>
        <w:jc w:val="both"/>
        <w:rPr>
          <w:rFonts w:ascii="Bookman Old Style" w:hAnsi="Bookman Old Style" w:cs="Times New Roman"/>
          <w:sz w:val="24"/>
          <w:szCs w:val="24"/>
          <w:lang w:val="fr-FR"/>
        </w:rPr>
      </w:pPr>
      <w:r w:rsidRPr="00D820CE">
        <w:rPr>
          <w:rFonts w:ascii="Bookman Old Style" w:hAnsi="Bookman Old Style" w:cs="Times New Roman"/>
          <w:sz w:val="24"/>
          <w:szCs w:val="24"/>
          <w:lang w:val="fr-FR"/>
        </w:rPr>
        <w:t xml:space="preserve">Déterminer les objectifs des TDR ; </w:t>
      </w:r>
    </w:p>
    <w:p w:rsidR="00720A54" w:rsidRPr="00D820CE" w:rsidRDefault="00720A54" w:rsidP="00720A54">
      <w:pPr>
        <w:pStyle w:val="Paragraphedeliste"/>
        <w:numPr>
          <w:ilvl w:val="0"/>
          <w:numId w:val="1"/>
        </w:numPr>
        <w:spacing w:before="240" w:line="240" w:lineRule="auto"/>
        <w:jc w:val="both"/>
        <w:rPr>
          <w:rFonts w:ascii="Bookman Old Style" w:hAnsi="Bookman Old Style" w:cs="Times New Roman"/>
          <w:sz w:val="24"/>
          <w:szCs w:val="24"/>
          <w:lang w:val="fr-FR"/>
        </w:rPr>
      </w:pPr>
      <w:r w:rsidRPr="00D820CE">
        <w:rPr>
          <w:rFonts w:ascii="Bookman Old Style" w:hAnsi="Bookman Old Style" w:cs="Times New Roman"/>
          <w:sz w:val="24"/>
          <w:szCs w:val="24"/>
          <w:lang w:val="fr-FR"/>
        </w:rPr>
        <w:t>Définir les résultats attendus ;</w:t>
      </w:r>
    </w:p>
    <w:p w:rsidR="00720A54" w:rsidRPr="00D820CE" w:rsidRDefault="00720A54" w:rsidP="00720A54">
      <w:pPr>
        <w:pStyle w:val="Paragraphedeliste"/>
        <w:numPr>
          <w:ilvl w:val="0"/>
          <w:numId w:val="1"/>
        </w:numPr>
        <w:spacing w:before="240" w:line="240" w:lineRule="auto"/>
        <w:jc w:val="both"/>
        <w:rPr>
          <w:rFonts w:ascii="Bookman Old Style" w:hAnsi="Bookman Old Style" w:cs="Times New Roman"/>
          <w:sz w:val="24"/>
          <w:szCs w:val="24"/>
          <w:lang w:val="fr-FR"/>
        </w:rPr>
      </w:pPr>
      <w:r w:rsidRPr="00D820CE">
        <w:rPr>
          <w:rFonts w:ascii="Bookman Old Style" w:hAnsi="Bookman Old Style" w:cs="Times New Roman"/>
          <w:sz w:val="24"/>
          <w:szCs w:val="24"/>
          <w:lang w:val="fr-FR"/>
        </w:rPr>
        <w:t>Décrire la méthodologie.</w:t>
      </w:r>
    </w:p>
    <w:p w:rsidR="00720A54" w:rsidRPr="00D70D1D" w:rsidRDefault="00720A54" w:rsidP="00D70D1D">
      <w:pPr>
        <w:pStyle w:val="Sansinterligne"/>
        <w:ind w:left="360"/>
        <w:jc w:val="both"/>
        <w:rPr>
          <w:rFonts w:ascii="Bookman Old Style" w:hAnsi="Bookman Old Style" w:cs="Times New Roman"/>
          <w:sz w:val="24"/>
          <w:szCs w:val="24"/>
          <w:lang w:val="fr-FR"/>
        </w:rPr>
      </w:pPr>
      <w:r w:rsidRPr="00D820CE">
        <w:rPr>
          <w:rFonts w:ascii="Bookman Old Style" w:hAnsi="Bookman Old Style" w:cs="Times New Roman"/>
          <w:sz w:val="24"/>
          <w:szCs w:val="24"/>
          <w:lang w:val="fr-FR"/>
        </w:rPr>
        <w:t xml:space="preserve">Les travaux de la journée ont pris fin  à 16 Heures. </w:t>
      </w:r>
    </w:p>
    <w:p w:rsidR="00720A54" w:rsidRDefault="00720A54" w:rsidP="00720A54">
      <w:pPr>
        <w:spacing w:line="360" w:lineRule="auto"/>
        <w:ind w:left="720"/>
        <w:contextualSpacing/>
        <w:jc w:val="center"/>
        <w:rPr>
          <w:rFonts w:ascii="Bookman Old Style" w:eastAsia="Calibri" w:hAnsi="Bookman Old Style" w:cs="Times New Roman"/>
          <w:sz w:val="24"/>
          <w:szCs w:val="24"/>
          <w:lang w:val="fr-FR"/>
        </w:rPr>
      </w:pPr>
    </w:p>
    <w:p w:rsidR="00720A54" w:rsidRDefault="00720A54" w:rsidP="00720A54">
      <w:pPr>
        <w:spacing w:line="360" w:lineRule="auto"/>
        <w:ind w:left="720"/>
        <w:contextualSpacing/>
        <w:jc w:val="center"/>
        <w:rPr>
          <w:rFonts w:ascii="Bookman Old Style" w:eastAsia="Calibri" w:hAnsi="Bookman Old Style" w:cs="Times New Roman"/>
          <w:sz w:val="24"/>
          <w:szCs w:val="24"/>
          <w:lang w:val="fr-FR"/>
        </w:rPr>
      </w:pPr>
    </w:p>
    <w:p w:rsidR="00720A54" w:rsidRPr="00D820CE" w:rsidRDefault="00720A54" w:rsidP="00720A54">
      <w:pPr>
        <w:spacing w:after="0"/>
        <w:jc w:val="center"/>
        <w:rPr>
          <w:rFonts w:ascii="Bookman Old Style" w:hAnsi="Bookman Old Style"/>
          <w:b/>
          <w:sz w:val="24"/>
          <w:szCs w:val="24"/>
          <w:u w:val="single"/>
        </w:rPr>
      </w:pPr>
      <w:r w:rsidRPr="00D820CE">
        <w:rPr>
          <w:rFonts w:ascii="Bookman Old Style" w:hAnsi="Bookman Old Style"/>
          <w:b/>
          <w:sz w:val="24"/>
          <w:szCs w:val="24"/>
          <w:u w:val="single"/>
        </w:rPr>
        <w:t>RECOMMANDATIONS</w:t>
      </w:r>
      <w:bookmarkStart w:id="0" w:name="_GoBack"/>
      <w:bookmarkEnd w:id="0"/>
    </w:p>
    <w:p w:rsidR="00720A54" w:rsidRPr="00D820CE" w:rsidRDefault="00720A54" w:rsidP="00720A54">
      <w:pPr>
        <w:spacing w:after="0"/>
        <w:jc w:val="center"/>
        <w:rPr>
          <w:rFonts w:ascii="Bookman Old Style" w:hAnsi="Bookman Old Style"/>
          <w:b/>
          <w:sz w:val="8"/>
          <w:szCs w:val="8"/>
        </w:rPr>
      </w:pPr>
    </w:p>
    <w:p w:rsidR="00720A54" w:rsidRPr="00D820CE" w:rsidRDefault="00720A54" w:rsidP="00720A54">
      <w:pPr>
        <w:pStyle w:val="Paragraphedeliste"/>
        <w:numPr>
          <w:ilvl w:val="0"/>
          <w:numId w:val="1"/>
        </w:numPr>
        <w:rPr>
          <w:rFonts w:ascii="Bookman Old Style" w:hAnsi="Bookman Old Style"/>
          <w:sz w:val="24"/>
          <w:szCs w:val="24"/>
        </w:rPr>
      </w:pPr>
      <w:r w:rsidRPr="00D820CE">
        <w:rPr>
          <w:rFonts w:ascii="Bookman Old Style" w:hAnsi="Bookman Old Style"/>
          <w:sz w:val="24"/>
          <w:szCs w:val="24"/>
        </w:rPr>
        <w:t>Elaborer un programme de travail annuel du groupe thématique ;</w:t>
      </w:r>
    </w:p>
    <w:p w:rsidR="00720A54" w:rsidRPr="00D820CE" w:rsidRDefault="00720A54" w:rsidP="00720A54">
      <w:pPr>
        <w:pStyle w:val="Paragraphedeliste"/>
        <w:numPr>
          <w:ilvl w:val="0"/>
          <w:numId w:val="1"/>
        </w:numPr>
        <w:jc w:val="both"/>
        <w:rPr>
          <w:rFonts w:ascii="Bookman Old Style" w:hAnsi="Bookman Old Style"/>
          <w:sz w:val="24"/>
          <w:szCs w:val="24"/>
        </w:rPr>
      </w:pPr>
      <w:r w:rsidRPr="00D820CE">
        <w:rPr>
          <w:rFonts w:ascii="Bookman Old Style" w:hAnsi="Bookman Old Style"/>
          <w:sz w:val="24"/>
          <w:szCs w:val="24"/>
        </w:rPr>
        <w:t>Faire un sondage à travers des questionnaires relatifs au fonctionnement du GT ;</w:t>
      </w:r>
    </w:p>
    <w:p w:rsidR="00720A54" w:rsidRPr="00D820CE" w:rsidRDefault="00720A54" w:rsidP="00720A54">
      <w:pPr>
        <w:pStyle w:val="Paragraphedeliste"/>
        <w:numPr>
          <w:ilvl w:val="0"/>
          <w:numId w:val="1"/>
        </w:numPr>
        <w:jc w:val="both"/>
        <w:rPr>
          <w:rFonts w:ascii="Bookman Old Style" w:hAnsi="Bookman Old Style"/>
          <w:sz w:val="24"/>
          <w:szCs w:val="24"/>
        </w:rPr>
      </w:pPr>
      <w:r w:rsidRPr="00D820CE">
        <w:rPr>
          <w:rFonts w:ascii="Bookman Old Style" w:hAnsi="Bookman Old Style"/>
          <w:sz w:val="24"/>
          <w:szCs w:val="24"/>
        </w:rPr>
        <w:t xml:space="preserve">Impliquer tous les acteurs ou parties prenantes dans le développement des ressources humaines du secteur : le secteur privé, la société civile, les universitaires, les ministères en charge de l’Economie, de la Fonction Publique, de l’Enseignement… au processus d’élaboration de la politique et des plans stratégiques nationaux de développement des ressources humaines 2018-2022 ; </w:t>
      </w:r>
    </w:p>
    <w:p w:rsidR="00720A54" w:rsidRPr="00D820CE" w:rsidRDefault="00720A54" w:rsidP="00720A54">
      <w:pPr>
        <w:pStyle w:val="Paragraphedeliste"/>
        <w:numPr>
          <w:ilvl w:val="0"/>
          <w:numId w:val="1"/>
        </w:numPr>
        <w:rPr>
          <w:rFonts w:ascii="Bookman Old Style" w:hAnsi="Bookman Old Style"/>
          <w:sz w:val="24"/>
          <w:szCs w:val="24"/>
        </w:rPr>
      </w:pPr>
      <w:r w:rsidRPr="00D820CE">
        <w:rPr>
          <w:rFonts w:ascii="Bookman Old Style" w:hAnsi="Bookman Old Style"/>
          <w:sz w:val="24"/>
          <w:szCs w:val="24"/>
        </w:rPr>
        <w:t>Mettre à la disposition des membres du GT, les documents de travail avant les réunions ;</w:t>
      </w:r>
    </w:p>
    <w:p w:rsidR="00720A54" w:rsidRPr="00D820CE" w:rsidRDefault="00720A54" w:rsidP="00720A54">
      <w:pPr>
        <w:pStyle w:val="Paragraphedeliste"/>
        <w:numPr>
          <w:ilvl w:val="0"/>
          <w:numId w:val="1"/>
        </w:numPr>
        <w:jc w:val="both"/>
        <w:rPr>
          <w:rFonts w:ascii="Bookman Old Style" w:hAnsi="Bookman Old Style"/>
          <w:sz w:val="24"/>
          <w:szCs w:val="24"/>
        </w:rPr>
      </w:pPr>
      <w:r w:rsidRPr="00D820CE">
        <w:rPr>
          <w:rFonts w:ascii="Bookman Old Style" w:hAnsi="Bookman Old Style"/>
          <w:sz w:val="24"/>
          <w:szCs w:val="24"/>
        </w:rPr>
        <w:t>Prendre en compte les orientations définies dans le document de la réforme du système de santé en cours  pour l’élaboration de la politique et des plans stratégiques nationaux de développement des ressources humaines 2018-2022 ;</w:t>
      </w:r>
    </w:p>
    <w:p w:rsidR="00720A54" w:rsidRPr="00D820CE" w:rsidRDefault="00720A54" w:rsidP="00720A54">
      <w:pPr>
        <w:pStyle w:val="Paragraphedeliste"/>
        <w:numPr>
          <w:ilvl w:val="0"/>
          <w:numId w:val="1"/>
        </w:numPr>
        <w:jc w:val="both"/>
        <w:rPr>
          <w:rFonts w:ascii="Bookman Old Style" w:hAnsi="Bookman Old Style"/>
          <w:sz w:val="24"/>
          <w:szCs w:val="24"/>
        </w:rPr>
      </w:pPr>
      <w:r>
        <w:rPr>
          <w:rFonts w:ascii="Bookman Old Style" w:hAnsi="Bookman Old Style"/>
          <w:sz w:val="24"/>
          <w:szCs w:val="24"/>
        </w:rPr>
        <w:t>Elaborer</w:t>
      </w:r>
      <w:r w:rsidRPr="00D820CE">
        <w:rPr>
          <w:rFonts w:ascii="Bookman Old Style" w:hAnsi="Bookman Old Style"/>
          <w:sz w:val="24"/>
          <w:szCs w:val="24"/>
        </w:rPr>
        <w:t xml:space="preserve"> trois (3) TDR pour le processus, pour le consultant et les groupes d’experts ; </w:t>
      </w:r>
    </w:p>
    <w:p w:rsidR="00720A54" w:rsidRDefault="00720A54" w:rsidP="00720A54">
      <w:pPr>
        <w:pStyle w:val="Paragraphedeliste"/>
        <w:numPr>
          <w:ilvl w:val="0"/>
          <w:numId w:val="1"/>
        </w:numPr>
        <w:jc w:val="both"/>
        <w:rPr>
          <w:rFonts w:ascii="Bookman Old Style" w:hAnsi="Bookman Old Style"/>
          <w:sz w:val="24"/>
          <w:szCs w:val="24"/>
        </w:rPr>
      </w:pPr>
      <w:r w:rsidRPr="00D820CE">
        <w:rPr>
          <w:rFonts w:ascii="Bookman Old Style" w:hAnsi="Bookman Old Style"/>
          <w:sz w:val="24"/>
          <w:szCs w:val="24"/>
        </w:rPr>
        <w:t>Prendre en compte les textes législatifs et réglementaires relatifs à la gestion des ressources humaines dans l’élaboration de la politique et des plans stratégiques nationaux de développement de</w:t>
      </w:r>
      <w:r>
        <w:rPr>
          <w:rFonts w:ascii="Bookman Old Style" w:hAnsi="Bookman Old Style"/>
          <w:sz w:val="24"/>
          <w:szCs w:val="24"/>
        </w:rPr>
        <w:t xml:space="preserve">s ressources humaines 2018-2022 ; </w:t>
      </w:r>
    </w:p>
    <w:p w:rsidR="00720A54" w:rsidRDefault="00720A54" w:rsidP="00720A54">
      <w:pPr>
        <w:pStyle w:val="Paragraphedeliste"/>
        <w:numPr>
          <w:ilvl w:val="0"/>
          <w:numId w:val="1"/>
        </w:numPr>
        <w:jc w:val="both"/>
        <w:rPr>
          <w:rFonts w:ascii="Bookman Old Style" w:hAnsi="Bookman Old Style"/>
          <w:sz w:val="24"/>
          <w:szCs w:val="24"/>
        </w:rPr>
      </w:pPr>
      <w:r>
        <w:rPr>
          <w:rFonts w:ascii="Bookman Old Style" w:hAnsi="Bookman Old Style"/>
          <w:sz w:val="24"/>
          <w:szCs w:val="24"/>
        </w:rPr>
        <w:t>Revoir la question de la mise en place de l’observatoire des ressources humaines en santé au Mali;</w:t>
      </w:r>
    </w:p>
    <w:p w:rsidR="00720A54" w:rsidRDefault="00720A54" w:rsidP="00720A54">
      <w:pPr>
        <w:pStyle w:val="Paragraphedeliste"/>
        <w:numPr>
          <w:ilvl w:val="0"/>
          <w:numId w:val="1"/>
        </w:numPr>
        <w:jc w:val="both"/>
        <w:rPr>
          <w:rFonts w:ascii="Bookman Old Style" w:hAnsi="Bookman Old Style"/>
          <w:sz w:val="24"/>
          <w:szCs w:val="24"/>
        </w:rPr>
      </w:pPr>
      <w:r>
        <w:rPr>
          <w:rFonts w:ascii="Bookman Old Style" w:hAnsi="Bookman Old Style"/>
          <w:sz w:val="24"/>
          <w:szCs w:val="24"/>
        </w:rPr>
        <w:t>Prendre en charge les CNPS et sa feuille de route pour la prochaine réunion du GT « Appui ressources humaines » ;</w:t>
      </w:r>
    </w:p>
    <w:p w:rsidR="00720A54" w:rsidRDefault="00720A54" w:rsidP="00720A54">
      <w:pPr>
        <w:pStyle w:val="Paragraphedeliste"/>
        <w:numPr>
          <w:ilvl w:val="0"/>
          <w:numId w:val="1"/>
        </w:numPr>
        <w:jc w:val="both"/>
        <w:rPr>
          <w:rFonts w:ascii="Bookman Old Style" w:hAnsi="Bookman Old Style"/>
          <w:sz w:val="24"/>
          <w:szCs w:val="24"/>
        </w:rPr>
      </w:pPr>
      <w:r>
        <w:rPr>
          <w:rFonts w:ascii="Bookman Old Style" w:hAnsi="Bookman Old Style"/>
          <w:sz w:val="24"/>
          <w:szCs w:val="24"/>
        </w:rPr>
        <w:t xml:space="preserve">Former un seul groupe homogène d’experts (santé, développement social et promotion de la femme) sensé connaitre, maitriser les donnée des départements pour l’élaboration des documents de politique et de </w:t>
      </w:r>
      <w:r>
        <w:rPr>
          <w:rFonts w:ascii="Bookman Old Style" w:hAnsi="Bookman Old Style"/>
          <w:sz w:val="24"/>
          <w:szCs w:val="24"/>
        </w:rPr>
        <w:lastRenderedPageBreak/>
        <w:t xml:space="preserve">plans stratégiques de développement des ressources humaines des trois départements ministériels; </w:t>
      </w:r>
    </w:p>
    <w:p w:rsidR="00720A54" w:rsidRPr="00AF3511" w:rsidRDefault="00720A54" w:rsidP="00720A54">
      <w:pPr>
        <w:pStyle w:val="Paragraphedeliste"/>
        <w:numPr>
          <w:ilvl w:val="0"/>
          <w:numId w:val="1"/>
        </w:numPr>
        <w:jc w:val="both"/>
        <w:rPr>
          <w:rFonts w:ascii="Bookman Old Style" w:hAnsi="Bookman Old Style"/>
          <w:sz w:val="24"/>
          <w:szCs w:val="24"/>
        </w:rPr>
      </w:pPr>
      <w:r>
        <w:rPr>
          <w:rFonts w:ascii="Bookman Old Style" w:hAnsi="Bookman Old Style"/>
          <w:sz w:val="24"/>
          <w:szCs w:val="24"/>
          <w:lang w:val="fr-FR"/>
        </w:rPr>
        <w:t>Etendre le</w:t>
      </w:r>
      <w:r w:rsidRPr="000C05DA">
        <w:rPr>
          <w:rFonts w:ascii="Bookman Old Style" w:hAnsi="Bookman Old Style"/>
          <w:sz w:val="24"/>
          <w:szCs w:val="24"/>
          <w:lang w:val="fr-FR"/>
        </w:rPr>
        <w:t xml:space="preserve"> recensement du secteur privé aux 10 régions du Mali en utilisant les études en cours, en profitant des missions de supervision sur terrain…</w:t>
      </w:r>
      <w:r>
        <w:rPr>
          <w:rFonts w:ascii="Bookman Old Style" w:hAnsi="Bookman Old Style"/>
          <w:sz w:val="24"/>
          <w:szCs w:val="24"/>
          <w:lang w:val="fr-FR"/>
        </w:rPr>
        <w:t> ;</w:t>
      </w:r>
    </w:p>
    <w:p w:rsidR="00720A54" w:rsidRDefault="00720A54" w:rsidP="00720A54">
      <w:pPr>
        <w:pStyle w:val="Paragraphedeliste"/>
        <w:numPr>
          <w:ilvl w:val="0"/>
          <w:numId w:val="1"/>
        </w:numPr>
        <w:jc w:val="both"/>
        <w:rPr>
          <w:rFonts w:ascii="Bookman Old Style" w:hAnsi="Bookman Old Style"/>
          <w:sz w:val="24"/>
          <w:szCs w:val="24"/>
        </w:rPr>
      </w:pPr>
      <w:r>
        <w:rPr>
          <w:rFonts w:ascii="Bookman Old Style" w:hAnsi="Bookman Old Style"/>
          <w:sz w:val="24"/>
          <w:szCs w:val="24"/>
        </w:rPr>
        <w:t>Impliquer les DRS dans les prochains recensements du secteur privé des régions.</w:t>
      </w:r>
    </w:p>
    <w:p w:rsidR="00720A54" w:rsidRDefault="00720A54" w:rsidP="00720A54">
      <w:pPr>
        <w:pStyle w:val="Paragraphedeliste"/>
        <w:jc w:val="both"/>
        <w:rPr>
          <w:rFonts w:ascii="Bookman Old Style" w:hAnsi="Bookman Old Style"/>
          <w:sz w:val="24"/>
          <w:szCs w:val="24"/>
        </w:rPr>
      </w:pPr>
    </w:p>
    <w:p w:rsidR="00720A54" w:rsidRDefault="00720A54" w:rsidP="00720A54">
      <w:pPr>
        <w:pStyle w:val="Paragraphedeliste"/>
        <w:jc w:val="both"/>
        <w:rPr>
          <w:rFonts w:ascii="Bookman Old Style" w:hAnsi="Bookman Old Style"/>
          <w:sz w:val="24"/>
          <w:szCs w:val="24"/>
        </w:rPr>
      </w:pPr>
    </w:p>
    <w:p w:rsidR="00D70D1D" w:rsidRPr="00D820CE" w:rsidRDefault="00D70D1D" w:rsidP="00D70D1D">
      <w:pPr>
        <w:spacing w:line="360" w:lineRule="auto"/>
        <w:ind w:left="720"/>
        <w:contextualSpacing/>
        <w:jc w:val="right"/>
        <w:rPr>
          <w:rFonts w:ascii="Bookman Old Style" w:eastAsia="Calibri" w:hAnsi="Bookman Old Style" w:cs="Times New Roman"/>
          <w:b/>
          <w:i/>
          <w:sz w:val="24"/>
          <w:szCs w:val="24"/>
          <w:lang w:val="fr-FR"/>
        </w:rPr>
      </w:pPr>
      <w:r w:rsidRPr="00D820CE">
        <w:rPr>
          <w:rFonts w:ascii="Bookman Old Style" w:eastAsia="Calibri" w:hAnsi="Bookman Old Style" w:cs="Times New Roman"/>
          <w:b/>
          <w:i/>
          <w:sz w:val="24"/>
          <w:szCs w:val="24"/>
          <w:lang w:val="fr-FR"/>
        </w:rPr>
        <w:t xml:space="preserve">Bamako, le </w:t>
      </w:r>
      <w:r>
        <w:rPr>
          <w:rFonts w:ascii="Bookman Old Style" w:eastAsia="Calibri" w:hAnsi="Bookman Old Style" w:cs="Times New Roman"/>
          <w:b/>
          <w:i/>
          <w:sz w:val="24"/>
          <w:szCs w:val="24"/>
          <w:lang w:val="fr-FR"/>
        </w:rPr>
        <w:t>11</w:t>
      </w:r>
      <w:r w:rsidRPr="00D820CE">
        <w:rPr>
          <w:rFonts w:ascii="Bookman Old Style" w:eastAsia="Calibri" w:hAnsi="Bookman Old Style" w:cs="Times New Roman"/>
          <w:b/>
          <w:i/>
          <w:sz w:val="24"/>
          <w:szCs w:val="24"/>
          <w:lang w:val="fr-FR"/>
        </w:rPr>
        <w:t xml:space="preserve"> /08/2017</w:t>
      </w:r>
    </w:p>
    <w:p w:rsidR="00720A54" w:rsidRDefault="00D70D1D" w:rsidP="00D70D1D">
      <w:pPr>
        <w:pStyle w:val="Paragraphedeliste"/>
        <w:jc w:val="right"/>
        <w:rPr>
          <w:rFonts w:ascii="Bookman Old Style" w:hAnsi="Bookman Old Style"/>
          <w:sz w:val="24"/>
          <w:szCs w:val="24"/>
        </w:rPr>
      </w:pPr>
      <w:r>
        <w:rPr>
          <w:rFonts w:ascii="Bookman Old Style" w:eastAsia="Calibri" w:hAnsi="Bookman Old Style" w:cs="Times New Roman"/>
          <w:b/>
          <w:i/>
          <w:sz w:val="24"/>
          <w:szCs w:val="24"/>
          <w:lang w:val="fr-FR"/>
        </w:rPr>
        <w:t>ATELIER</w:t>
      </w:r>
    </w:p>
    <w:p w:rsidR="00720A54" w:rsidRDefault="00720A54" w:rsidP="00720A54">
      <w:pPr>
        <w:pStyle w:val="Paragraphedeliste"/>
        <w:jc w:val="both"/>
        <w:rPr>
          <w:rFonts w:ascii="Bookman Old Style" w:hAnsi="Bookman Old Style"/>
          <w:sz w:val="24"/>
          <w:szCs w:val="24"/>
        </w:rPr>
      </w:pPr>
    </w:p>
    <w:p w:rsidR="00720A54" w:rsidRDefault="00720A54" w:rsidP="00720A54">
      <w:pPr>
        <w:pStyle w:val="Paragraphedeliste"/>
        <w:jc w:val="both"/>
        <w:rPr>
          <w:rFonts w:ascii="Bookman Old Style" w:hAnsi="Bookman Old Style"/>
          <w:sz w:val="24"/>
          <w:szCs w:val="24"/>
        </w:rPr>
      </w:pPr>
    </w:p>
    <w:p w:rsidR="00720A54" w:rsidRDefault="00720A54" w:rsidP="00720A54">
      <w:pPr>
        <w:pStyle w:val="Paragraphedeliste"/>
        <w:jc w:val="both"/>
        <w:rPr>
          <w:rFonts w:ascii="Bookman Old Style" w:hAnsi="Bookman Old Style"/>
          <w:sz w:val="24"/>
          <w:szCs w:val="24"/>
        </w:rPr>
      </w:pPr>
    </w:p>
    <w:p w:rsidR="00720A54" w:rsidRPr="00D820CE" w:rsidRDefault="00720A54" w:rsidP="00720A54">
      <w:pPr>
        <w:pStyle w:val="Paragraphedeliste"/>
        <w:jc w:val="both"/>
        <w:rPr>
          <w:rFonts w:ascii="Bookman Old Style" w:hAnsi="Bookman Old Style"/>
          <w:sz w:val="24"/>
          <w:szCs w:val="24"/>
        </w:rPr>
      </w:pPr>
    </w:p>
    <w:p w:rsidR="00F676FF" w:rsidRDefault="00F676FF"/>
    <w:sectPr w:rsidR="00F676FF" w:rsidSect="0012348E">
      <w:footerReference w:type="default" r:id="rI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531438"/>
      <w:docPartObj>
        <w:docPartGallery w:val="Page Numbers (Bottom of Page)"/>
        <w:docPartUnique/>
      </w:docPartObj>
    </w:sdtPr>
    <w:sdtEndPr/>
    <w:sdtContent>
      <w:p w:rsidR="00F01EB2" w:rsidRDefault="00D70D1D">
        <w:pPr>
          <w:pStyle w:val="Pieddepage"/>
          <w:jc w:val="right"/>
        </w:pPr>
        <w:r>
          <w:fldChar w:fldCharType="begin"/>
        </w:r>
        <w:r>
          <w:instrText xml:space="preserve"> PAGE   \* MERGEFORMAT </w:instrText>
        </w:r>
        <w:r>
          <w:fldChar w:fldCharType="separate"/>
        </w:r>
        <w:r>
          <w:rPr>
            <w:noProof/>
          </w:rPr>
          <w:t>1</w:t>
        </w:r>
        <w:r>
          <w:fldChar w:fldCharType="end"/>
        </w:r>
      </w:p>
    </w:sdtContent>
  </w:sdt>
  <w:p w:rsidR="00F01EB2" w:rsidRDefault="00D70D1D">
    <w:pPr>
      <w:pStyle w:val="Pieddepage"/>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57436"/>
    <w:multiLevelType w:val="hybridMultilevel"/>
    <w:tmpl w:val="C142B0A8"/>
    <w:lvl w:ilvl="0" w:tplc="1C64831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0135E82"/>
    <w:multiLevelType w:val="hybridMultilevel"/>
    <w:tmpl w:val="EDFC7822"/>
    <w:lvl w:ilvl="0" w:tplc="0D8E82B6">
      <w:numFmt w:val="bullet"/>
      <w:lvlText w:val="-"/>
      <w:lvlJc w:val="left"/>
      <w:pPr>
        <w:tabs>
          <w:tab w:val="num" w:pos="480"/>
        </w:tabs>
        <w:ind w:left="48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6CBB0AB5"/>
    <w:multiLevelType w:val="hybridMultilevel"/>
    <w:tmpl w:val="773E0B5E"/>
    <w:lvl w:ilvl="0" w:tplc="3C3C1CF0">
      <w:start w:val="1"/>
      <w:numFmt w:val="decimal"/>
      <w:lvlText w:val="%1."/>
      <w:lvlJc w:val="left"/>
      <w:pPr>
        <w:ind w:left="-180" w:hanging="360"/>
      </w:pPr>
      <w:rPr>
        <w:rFonts w:hint="default"/>
      </w:rPr>
    </w:lvl>
    <w:lvl w:ilvl="1" w:tplc="040C0019" w:tentative="1">
      <w:start w:val="1"/>
      <w:numFmt w:val="lowerLetter"/>
      <w:lvlText w:val="%2."/>
      <w:lvlJc w:val="left"/>
      <w:pPr>
        <w:ind w:left="540" w:hanging="360"/>
      </w:pPr>
    </w:lvl>
    <w:lvl w:ilvl="2" w:tplc="040C001B" w:tentative="1">
      <w:start w:val="1"/>
      <w:numFmt w:val="lowerRoman"/>
      <w:lvlText w:val="%3."/>
      <w:lvlJc w:val="right"/>
      <w:pPr>
        <w:ind w:left="1260" w:hanging="180"/>
      </w:pPr>
    </w:lvl>
    <w:lvl w:ilvl="3" w:tplc="040C000F" w:tentative="1">
      <w:start w:val="1"/>
      <w:numFmt w:val="decimal"/>
      <w:lvlText w:val="%4."/>
      <w:lvlJc w:val="left"/>
      <w:pPr>
        <w:ind w:left="1980" w:hanging="360"/>
      </w:pPr>
    </w:lvl>
    <w:lvl w:ilvl="4" w:tplc="040C0019" w:tentative="1">
      <w:start w:val="1"/>
      <w:numFmt w:val="lowerLetter"/>
      <w:lvlText w:val="%5."/>
      <w:lvlJc w:val="left"/>
      <w:pPr>
        <w:ind w:left="2700" w:hanging="360"/>
      </w:pPr>
    </w:lvl>
    <w:lvl w:ilvl="5" w:tplc="040C001B" w:tentative="1">
      <w:start w:val="1"/>
      <w:numFmt w:val="lowerRoman"/>
      <w:lvlText w:val="%6."/>
      <w:lvlJc w:val="right"/>
      <w:pPr>
        <w:ind w:left="3420" w:hanging="180"/>
      </w:pPr>
    </w:lvl>
    <w:lvl w:ilvl="6" w:tplc="040C000F" w:tentative="1">
      <w:start w:val="1"/>
      <w:numFmt w:val="decimal"/>
      <w:lvlText w:val="%7."/>
      <w:lvlJc w:val="left"/>
      <w:pPr>
        <w:ind w:left="4140" w:hanging="360"/>
      </w:pPr>
    </w:lvl>
    <w:lvl w:ilvl="7" w:tplc="040C0019" w:tentative="1">
      <w:start w:val="1"/>
      <w:numFmt w:val="lowerLetter"/>
      <w:lvlText w:val="%8."/>
      <w:lvlJc w:val="left"/>
      <w:pPr>
        <w:ind w:left="4860" w:hanging="360"/>
      </w:pPr>
    </w:lvl>
    <w:lvl w:ilvl="8" w:tplc="040C001B" w:tentative="1">
      <w:start w:val="1"/>
      <w:numFmt w:val="lowerRoman"/>
      <w:lvlText w:val="%9."/>
      <w:lvlJc w:val="right"/>
      <w:pPr>
        <w:ind w:left="5580" w:hanging="180"/>
      </w:pPr>
    </w:lvl>
  </w:abstractNum>
  <w:abstractNum w:abstractNumId="3">
    <w:nsid w:val="712E3426"/>
    <w:multiLevelType w:val="hybridMultilevel"/>
    <w:tmpl w:val="844E4262"/>
    <w:lvl w:ilvl="0" w:tplc="6472E4E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7827DC5"/>
    <w:multiLevelType w:val="hybridMultilevel"/>
    <w:tmpl w:val="FE5000A8"/>
    <w:lvl w:ilvl="0" w:tplc="040C0001">
      <w:start w:val="1"/>
      <w:numFmt w:val="bullet"/>
      <w:lvlText w:val=""/>
      <w:lvlJc w:val="left"/>
      <w:pPr>
        <w:ind w:left="1068" w:hanging="360"/>
      </w:pPr>
      <w:rPr>
        <w:rFonts w:ascii="Symbol" w:hAnsi="Symbol" w:hint="default"/>
      </w:rPr>
    </w:lvl>
    <w:lvl w:ilvl="1" w:tplc="040C0003">
      <w:start w:val="1"/>
      <w:numFmt w:val="decimal"/>
      <w:lvlText w:val="%2."/>
      <w:lvlJc w:val="left"/>
      <w:pPr>
        <w:tabs>
          <w:tab w:val="num" w:pos="2148"/>
        </w:tabs>
        <w:ind w:left="2148" w:hanging="360"/>
      </w:pPr>
    </w:lvl>
    <w:lvl w:ilvl="2" w:tplc="040C0005">
      <w:start w:val="1"/>
      <w:numFmt w:val="decimal"/>
      <w:lvlText w:val="%3."/>
      <w:lvlJc w:val="left"/>
      <w:pPr>
        <w:tabs>
          <w:tab w:val="num" w:pos="2868"/>
        </w:tabs>
        <w:ind w:left="2868" w:hanging="360"/>
      </w:pPr>
    </w:lvl>
    <w:lvl w:ilvl="3" w:tplc="040C0001">
      <w:start w:val="1"/>
      <w:numFmt w:val="decimal"/>
      <w:lvlText w:val="%4."/>
      <w:lvlJc w:val="left"/>
      <w:pPr>
        <w:tabs>
          <w:tab w:val="num" w:pos="3588"/>
        </w:tabs>
        <w:ind w:left="3588" w:hanging="360"/>
      </w:pPr>
    </w:lvl>
    <w:lvl w:ilvl="4" w:tplc="040C0003">
      <w:start w:val="1"/>
      <w:numFmt w:val="decimal"/>
      <w:lvlText w:val="%5."/>
      <w:lvlJc w:val="left"/>
      <w:pPr>
        <w:tabs>
          <w:tab w:val="num" w:pos="4308"/>
        </w:tabs>
        <w:ind w:left="4308" w:hanging="360"/>
      </w:pPr>
    </w:lvl>
    <w:lvl w:ilvl="5" w:tplc="040C0005">
      <w:start w:val="1"/>
      <w:numFmt w:val="decimal"/>
      <w:lvlText w:val="%6."/>
      <w:lvlJc w:val="left"/>
      <w:pPr>
        <w:tabs>
          <w:tab w:val="num" w:pos="5028"/>
        </w:tabs>
        <w:ind w:left="5028" w:hanging="360"/>
      </w:pPr>
    </w:lvl>
    <w:lvl w:ilvl="6" w:tplc="040C0001">
      <w:start w:val="1"/>
      <w:numFmt w:val="decimal"/>
      <w:lvlText w:val="%7."/>
      <w:lvlJc w:val="left"/>
      <w:pPr>
        <w:tabs>
          <w:tab w:val="num" w:pos="5748"/>
        </w:tabs>
        <w:ind w:left="5748" w:hanging="360"/>
      </w:pPr>
    </w:lvl>
    <w:lvl w:ilvl="7" w:tplc="040C0003">
      <w:start w:val="1"/>
      <w:numFmt w:val="decimal"/>
      <w:lvlText w:val="%8."/>
      <w:lvlJc w:val="left"/>
      <w:pPr>
        <w:tabs>
          <w:tab w:val="num" w:pos="6468"/>
        </w:tabs>
        <w:ind w:left="6468" w:hanging="360"/>
      </w:pPr>
    </w:lvl>
    <w:lvl w:ilvl="8" w:tplc="040C0005">
      <w:start w:val="1"/>
      <w:numFmt w:val="decimal"/>
      <w:lvlText w:val="%9."/>
      <w:lvlJc w:val="left"/>
      <w:pPr>
        <w:tabs>
          <w:tab w:val="num" w:pos="7188"/>
        </w:tabs>
        <w:ind w:left="7188" w:hanging="360"/>
      </w:pPr>
    </w:lvl>
  </w:abstractNum>
  <w:num w:numId="1">
    <w:abstractNumId w:val="3"/>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20A54"/>
    <w:rsid w:val="000342F8"/>
    <w:rsid w:val="00720A54"/>
    <w:rsid w:val="00D70D1D"/>
    <w:rsid w:val="00F676F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A54"/>
    <w:rPr>
      <w:lang w:val="fr-M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20A54"/>
    <w:pPr>
      <w:spacing w:after="0" w:line="240" w:lineRule="auto"/>
    </w:pPr>
    <w:rPr>
      <w:lang w:val="en-US"/>
    </w:rPr>
  </w:style>
  <w:style w:type="paragraph" w:styleId="Paragraphedeliste">
    <w:name w:val="List Paragraph"/>
    <w:basedOn w:val="Normal"/>
    <w:uiPriority w:val="34"/>
    <w:qFormat/>
    <w:rsid w:val="00720A54"/>
    <w:pPr>
      <w:ind w:left="720"/>
      <w:contextualSpacing/>
    </w:pPr>
  </w:style>
  <w:style w:type="paragraph" w:styleId="Retraitcorpsdetexte2">
    <w:name w:val="Body Text Indent 2"/>
    <w:basedOn w:val="Normal"/>
    <w:link w:val="Retraitcorpsdetexte2Car"/>
    <w:unhideWhenUsed/>
    <w:rsid w:val="00720A54"/>
    <w:pPr>
      <w:spacing w:after="0" w:line="240" w:lineRule="auto"/>
      <w:ind w:left="-720"/>
      <w:jc w:val="center"/>
    </w:pPr>
    <w:rPr>
      <w:rFonts w:ascii="Times New Roman" w:eastAsia="Times New Roman" w:hAnsi="Times New Roman" w:cs="Times New Roman"/>
      <w:b/>
      <w:bCs/>
      <w:sz w:val="24"/>
      <w:szCs w:val="24"/>
      <w:lang w:val="fr-FR" w:eastAsia="fr-FR"/>
    </w:rPr>
  </w:style>
  <w:style w:type="character" w:customStyle="1" w:styleId="Retraitcorpsdetexte2Car">
    <w:name w:val="Retrait corps de texte 2 Car"/>
    <w:basedOn w:val="Policepardfaut"/>
    <w:link w:val="Retraitcorpsdetexte2"/>
    <w:rsid w:val="00720A54"/>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720A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0A54"/>
    <w:rPr>
      <w:lang w:val="fr-M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1176</Words>
  <Characters>6468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NIAKALING</dc:creator>
  <cp:lastModifiedBy>NIAKALING</cp:lastModifiedBy>
  <cp:revision>1</cp:revision>
  <dcterms:created xsi:type="dcterms:W3CDTF">2017-08-16T12:07:00Z</dcterms:created>
  <dcterms:modified xsi:type="dcterms:W3CDTF">2017-08-16T12:29:00Z</dcterms:modified>
</cp:coreProperties>
</file>