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E4"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TERMES DE REFERENCES DE L</w:t>
      </w:r>
      <w:r w:rsidR="00CD75E4">
        <w:rPr>
          <w:rFonts w:asciiTheme="minorHAnsi" w:hAnsiTheme="minorHAnsi"/>
          <w:color w:val="auto"/>
          <w:sz w:val="24"/>
          <w:szCs w:val="24"/>
        </w:rPr>
        <w:t>’</w:t>
      </w:r>
      <w:r w:rsidRPr="00BF51C7">
        <w:rPr>
          <w:rFonts w:asciiTheme="minorHAnsi" w:hAnsiTheme="minorHAnsi"/>
          <w:color w:val="auto"/>
          <w:sz w:val="24"/>
          <w:szCs w:val="24"/>
        </w:rPr>
        <w:t>A</w:t>
      </w:r>
      <w:r w:rsidR="00CD75E4">
        <w:rPr>
          <w:rFonts w:asciiTheme="minorHAnsi" w:hAnsiTheme="minorHAnsi"/>
          <w:color w:val="auto"/>
          <w:sz w:val="24"/>
          <w:szCs w:val="24"/>
        </w:rPr>
        <w:t xml:space="preserve">TELIER D’EVALUATION INTERNE </w:t>
      </w:r>
    </w:p>
    <w:p w:rsidR="00BF51C7" w:rsidRPr="00BF51C7"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DES CAPACITES D</w:t>
      </w:r>
      <w:r w:rsidR="00CD75E4">
        <w:rPr>
          <w:rFonts w:asciiTheme="minorHAnsi" w:hAnsiTheme="minorHAnsi"/>
          <w:color w:val="auto"/>
          <w:sz w:val="24"/>
          <w:szCs w:val="24"/>
        </w:rPr>
        <w:t>U</w:t>
      </w:r>
      <w:r w:rsidRPr="00BF51C7">
        <w:rPr>
          <w:rFonts w:asciiTheme="minorHAnsi" w:hAnsiTheme="minorHAnsi"/>
          <w:color w:val="auto"/>
          <w:sz w:val="24"/>
          <w:szCs w:val="24"/>
        </w:rPr>
        <w:t xml:space="preserve"> MALI DANS LA MISE EN ŒUVRE DES DISPOSITIONS </w:t>
      </w:r>
    </w:p>
    <w:p w:rsidR="00BF51C7" w:rsidRPr="00BF51C7" w:rsidRDefault="00BF51C7" w:rsidP="00BF51C7">
      <w:pPr>
        <w:pStyle w:val="Titre1"/>
        <w:spacing w:before="0"/>
        <w:jc w:val="center"/>
        <w:rPr>
          <w:rFonts w:asciiTheme="minorHAnsi" w:hAnsiTheme="minorHAnsi"/>
          <w:color w:val="auto"/>
          <w:sz w:val="24"/>
          <w:szCs w:val="24"/>
        </w:rPr>
      </w:pPr>
      <w:r w:rsidRPr="00BF51C7">
        <w:rPr>
          <w:rFonts w:asciiTheme="minorHAnsi" w:hAnsiTheme="minorHAnsi"/>
          <w:color w:val="auto"/>
          <w:sz w:val="24"/>
          <w:szCs w:val="24"/>
        </w:rPr>
        <w:t>DU REGLEMENT SANITAIRE INTERNATIONAL (2005)</w:t>
      </w:r>
    </w:p>
    <w:p w:rsidR="00BF51C7" w:rsidRPr="00BF51C7" w:rsidRDefault="00BF51C7" w:rsidP="00BF51C7">
      <w:pPr>
        <w:tabs>
          <w:tab w:val="left" w:pos="360"/>
        </w:tabs>
        <w:spacing w:after="0"/>
        <w:rPr>
          <w:sz w:val="24"/>
          <w:szCs w:val="24"/>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t>Contexte et justification</w:t>
      </w:r>
    </w:p>
    <w:p w:rsidR="00BF51C7" w:rsidRPr="00BF51C7" w:rsidRDefault="00BF51C7" w:rsidP="00BF51C7">
      <w:pPr>
        <w:pStyle w:val="Paragraphedeliste"/>
        <w:tabs>
          <w:tab w:val="left" w:pos="360"/>
        </w:tabs>
        <w:spacing w:after="0"/>
        <w:ind w:left="360"/>
        <w:rPr>
          <w:sz w:val="24"/>
          <w:szCs w:val="24"/>
        </w:rPr>
      </w:pPr>
    </w:p>
    <w:p w:rsidR="00BF51C7" w:rsidRPr="00CD75E4" w:rsidRDefault="00BF51C7" w:rsidP="00BF51C7">
      <w:pPr>
        <w:tabs>
          <w:tab w:val="left" w:pos="3202"/>
        </w:tabs>
        <w:spacing w:after="0"/>
        <w:rPr>
          <w:sz w:val="24"/>
          <w:szCs w:val="24"/>
          <w:lang w:val="fr-FR"/>
        </w:rPr>
      </w:pPr>
      <w:r w:rsidRPr="00CD75E4">
        <w:rPr>
          <w:sz w:val="24"/>
          <w:szCs w:val="24"/>
          <w:lang w:val="fr-FR"/>
        </w:rPr>
        <w:t>Le Règlement Sanitaire International (RSI) est un accord juridique international qui lie les 196 E</w:t>
      </w:r>
      <w:r w:rsidR="003F5294">
        <w:rPr>
          <w:sz w:val="24"/>
          <w:szCs w:val="24"/>
          <w:lang w:val="fr-FR"/>
        </w:rPr>
        <w:t>tats parties de l’Organisation m</w:t>
      </w:r>
      <w:r w:rsidRPr="00CD75E4">
        <w:rPr>
          <w:sz w:val="24"/>
          <w:szCs w:val="24"/>
          <w:lang w:val="fr-FR"/>
        </w:rPr>
        <w:t xml:space="preserve">ondiale de la Santé (OMS).  L’objet et la portée du RSI (2005) consistent à «prévenir la propagation internationale des maladies, à s’en protéger, à la maîtriser et à y réagir par une action de santé publique proportionnée et limitée aux risques qu’elle présente pour la santé publique, en évitant de créer des entraves inutiles au trafic et au commerce internationaux».  </w:t>
      </w:r>
    </w:p>
    <w:p w:rsidR="00BF51C7" w:rsidRPr="00CD75E4" w:rsidRDefault="00BF51C7"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r w:rsidRPr="00FD72F5">
        <w:rPr>
          <w:sz w:val="24"/>
          <w:szCs w:val="24"/>
          <w:lang w:val="fr-FR"/>
        </w:rPr>
        <w:t xml:space="preserve">L’évaluation externe conjointe (JEE) est un processus volontaire et multisectoriel visant à évaluer la capacité d’un pays à prévenir </w:t>
      </w:r>
      <w:r w:rsidR="003F5294">
        <w:rPr>
          <w:sz w:val="24"/>
          <w:szCs w:val="24"/>
          <w:lang w:val="fr-FR"/>
        </w:rPr>
        <w:t>et détecter les risques de santé</w:t>
      </w:r>
      <w:r w:rsidRPr="00FD72F5">
        <w:rPr>
          <w:sz w:val="24"/>
          <w:szCs w:val="24"/>
          <w:lang w:val="fr-FR"/>
        </w:rPr>
        <w:t xml:space="preserve"> publique qui peuvent se produire spontanément </w:t>
      </w:r>
      <w:r w:rsidR="003F5294">
        <w:rPr>
          <w:sz w:val="24"/>
          <w:szCs w:val="24"/>
          <w:lang w:val="fr-FR"/>
        </w:rPr>
        <w:t>ou du fait d’évènements délibéré</w:t>
      </w:r>
      <w:r w:rsidR="003F5294" w:rsidRPr="00FD72F5">
        <w:rPr>
          <w:sz w:val="24"/>
          <w:szCs w:val="24"/>
          <w:lang w:val="fr-FR"/>
        </w:rPr>
        <w:t>s</w:t>
      </w:r>
      <w:r w:rsidRPr="00FD72F5">
        <w:rPr>
          <w:sz w:val="24"/>
          <w:szCs w:val="24"/>
          <w:lang w:val="fr-FR"/>
        </w:rPr>
        <w:t xml:space="preserve"> ou accidentels, et à y répondre rapidement.  </w:t>
      </w:r>
      <w:r w:rsidRPr="00CD75E4">
        <w:rPr>
          <w:sz w:val="24"/>
          <w:szCs w:val="24"/>
          <w:lang w:val="fr-FR"/>
        </w:rPr>
        <w:t xml:space="preserve">L’outil et le processus de cette évaluation sont les éléments clés du cadre de suivi et d’évaluation du RSI qui ont été élaborés et mis en œuvre en harmonie et en collaboration avec les initiatives connexes telles que le programme d’action pour la sécurité sanitaire mondiale (GHSA) et l’outil de l’Organisation Mondiale de Santé Animale (OIE) pour l’évaluation des performances des services vétérinaires (PVS).  </w:t>
      </w:r>
    </w:p>
    <w:p w:rsidR="00BF51C7" w:rsidRPr="00CD75E4" w:rsidRDefault="00BF51C7"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r w:rsidRPr="00FD72F5">
        <w:rPr>
          <w:sz w:val="24"/>
          <w:szCs w:val="24"/>
          <w:lang w:val="fr-FR"/>
        </w:rPr>
        <w:t>L’objectif du processus d’évaluation externe et d’évalu</w:t>
      </w:r>
      <w:r w:rsidR="003F5294">
        <w:rPr>
          <w:sz w:val="24"/>
          <w:szCs w:val="24"/>
          <w:lang w:val="fr-FR"/>
        </w:rPr>
        <w:t>er la situation d’un pays donné</w:t>
      </w:r>
      <w:r w:rsidRPr="00FD72F5">
        <w:rPr>
          <w:sz w:val="24"/>
          <w:szCs w:val="24"/>
          <w:lang w:val="fr-FR"/>
        </w:rPr>
        <w:t xml:space="preserve"> ainsi que ses progrès dans l’accomplissement des objectifs contenus dans l’outil d’évaluation externe conjointe. </w:t>
      </w:r>
      <w:r w:rsidRPr="00CD75E4">
        <w:rPr>
          <w:sz w:val="24"/>
          <w:szCs w:val="24"/>
          <w:lang w:val="fr-FR"/>
        </w:rPr>
        <w:t>Cette évaluation permet aux pays d’identifier les insuffisances les plus importantes au sein de leurs systèmes de santé humaine et animale afin de prioriser les possibilités d’amélioration de la préparation et de la riposte, et de collaborer avec des donateurs et des partenaires actuels et potentiels pour cibler efficacement les ressources.  Les évaluations externes devraient être perçues comme partie intégrante d’un processus continu de renforcement des capacités en vue de la mise en œuv</w:t>
      </w:r>
      <w:r w:rsidR="003F5294">
        <w:rPr>
          <w:sz w:val="24"/>
          <w:szCs w:val="24"/>
          <w:lang w:val="fr-FR"/>
        </w:rPr>
        <w:t>re du RSI (2005) qui implique un</w:t>
      </w:r>
      <w:r w:rsidRPr="00CD75E4">
        <w:rPr>
          <w:sz w:val="24"/>
          <w:szCs w:val="24"/>
          <w:lang w:val="fr-FR"/>
        </w:rPr>
        <w:t xml:space="preserve"> engagement politique fort, une auto-évaluation et une approche </w:t>
      </w:r>
      <w:r w:rsidR="003F5294" w:rsidRPr="00CD75E4">
        <w:rPr>
          <w:sz w:val="24"/>
          <w:szCs w:val="24"/>
          <w:lang w:val="fr-FR"/>
        </w:rPr>
        <w:t>multisectorielle</w:t>
      </w:r>
      <w:r w:rsidRPr="00CD75E4">
        <w:rPr>
          <w:sz w:val="24"/>
          <w:szCs w:val="24"/>
          <w:lang w:val="fr-FR"/>
        </w:rPr>
        <w:t xml:space="preserve"> intégrée.  </w:t>
      </w:r>
    </w:p>
    <w:p w:rsidR="00BF51C7" w:rsidRPr="00CD75E4" w:rsidRDefault="00BF51C7" w:rsidP="00BF51C7">
      <w:pPr>
        <w:tabs>
          <w:tab w:val="num" w:pos="720"/>
          <w:tab w:val="left" w:pos="3202"/>
        </w:tabs>
        <w:spacing w:after="0"/>
        <w:rPr>
          <w:sz w:val="24"/>
          <w:szCs w:val="24"/>
          <w:lang w:val="fr-FR"/>
        </w:rPr>
      </w:pPr>
    </w:p>
    <w:p w:rsidR="00BF51C7" w:rsidRPr="00FD72F5" w:rsidRDefault="00BF51C7" w:rsidP="00BF51C7">
      <w:pPr>
        <w:tabs>
          <w:tab w:val="num" w:pos="720"/>
          <w:tab w:val="left" w:pos="3202"/>
        </w:tabs>
        <w:spacing w:after="0"/>
        <w:rPr>
          <w:sz w:val="24"/>
          <w:szCs w:val="24"/>
          <w:lang w:val="fr-FR"/>
        </w:rPr>
      </w:pPr>
      <w:r w:rsidRPr="00FD72F5">
        <w:rPr>
          <w:sz w:val="24"/>
          <w:szCs w:val="24"/>
          <w:lang w:val="fr-FR"/>
        </w:rPr>
        <w:t xml:space="preserve">L’évaluation externe est réalisée en deux étapes : (1) une évaluation interne initiale menée par le pays hôte en utilisant l’outil d’évaluation externe conjointe et (2) une évaluation dans le pays effectuée par une équipe d’évaluation externe constituée d’experts en la matière, en étroite collaboration avec les autorités nationales pairs.  </w:t>
      </w:r>
    </w:p>
    <w:p w:rsidR="00BF51C7" w:rsidRPr="00FD72F5" w:rsidRDefault="00BF51C7" w:rsidP="00BF51C7">
      <w:pPr>
        <w:tabs>
          <w:tab w:val="left" w:pos="360"/>
        </w:tabs>
        <w:spacing w:after="0"/>
        <w:rPr>
          <w:sz w:val="24"/>
          <w:szCs w:val="24"/>
          <w:lang w:val="fr-FR"/>
        </w:rPr>
      </w:pPr>
    </w:p>
    <w:p w:rsidR="004764B6" w:rsidRDefault="00BF51C7" w:rsidP="00BF51C7">
      <w:pPr>
        <w:tabs>
          <w:tab w:val="num" w:pos="720"/>
          <w:tab w:val="left" w:pos="3202"/>
        </w:tabs>
        <w:spacing w:after="0"/>
        <w:rPr>
          <w:sz w:val="24"/>
          <w:szCs w:val="24"/>
          <w:lang w:val="fr-FR"/>
        </w:rPr>
      </w:pPr>
      <w:r w:rsidRPr="00FD72F5">
        <w:rPr>
          <w:sz w:val="24"/>
          <w:szCs w:val="24"/>
          <w:lang w:val="fr-FR"/>
        </w:rPr>
        <w:t>En avril 2017,</w:t>
      </w:r>
      <w:r w:rsidR="003F5294">
        <w:rPr>
          <w:sz w:val="24"/>
          <w:szCs w:val="24"/>
          <w:lang w:val="fr-FR"/>
        </w:rPr>
        <w:t xml:space="preserve"> le</w:t>
      </w:r>
      <w:r w:rsidR="004764B6">
        <w:rPr>
          <w:sz w:val="24"/>
          <w:szCs w:val="24"/>
          <w:lang w:val="fr-FR"/>
        </w:rPr>
        <w:t xml:space="preserve"> Mali s’est engagé</w:t>
      </w:r>
      <w:r w:rsidRPr="00FD72F5">
        <w:rPr>
          <w:sz w:val="24"/>
          <w:szCs w:val="24"/>
          <w:lang w:val="fr-FR"/>
        </w:rPr>
        <w:t xml:space="preserve"> par courrier officiel</w:t>
      </w:r>
      <w:r w:rsidR="004764B6">
        <w:rPr>
          <w:sz w:val="24"/>
          <w:szCs w:val="24"/>
          <w:lang w:val="fr-FR"/>
        </w:rPr>
        <w:t xml:space="preserve"> adressé à l’OMS, </w:t>
      </w:r>
      <w:r w:rsidRPr="00FD72F5">
        <w:rPr>
          <w:sz w:val="24"/>
          <w:szCs w:val="24"/>
          <w:lang w:val="fr-FR"/>
        </w:rPr>
        <w:t xml:space="preserve">à mener les évaluations interne et externe des capacités du pays à mettre en œuvre les dispositions du RSI.  </w:t>
      </w:r>
      <w:r w:rsidRPr="00CD75E4">
        <w:rPr>
          <w:sz w:val="24"/>
          <w:szCs w:val="24"/>
          <w:lang w:val="fr-FR"/>
        </w:rPr>
        <w:t>L’évaluation externe conjointe est programmé</w:t>
      </w:r>
      <w:r w:rsidR="004764B6">
        <w:rPr>
          <w:sz w:val="24"/>
          <w:szCs w:val="24"/>
          <w:lang w:val="fr-FR"/>
        </w:rPr>
        <w:t xml:space="preserve">e </w:t>
      </w:r>
      <w:r w:rsidRPr="00CD75E4">
        <w:rPr>
          <w:sz w:val="24"/>
          <w:szCs w:val="24"/>
          <w:lang w:val="fr-FR"/>
        </w:rPr>
        <w:t xml:space="preserve"> pour juin 2017 et l’évaluation interne </w:t>
      </w:r>
      <w:r w:rsidR="004764B6">
        <w:rPr>
          <w:sz w:val="24"/>
          <w:szCs w:val="24"/>
          <w:lang w:val="fr-FR"/>
        </w:rPr>
        <w:t>devra être réalisée en mai 2017</w:t>
      </w:r>
      <w:r w:rsidRPr="00CD75E4">
        <w:rPr>
          <w:sz w:val="24"/>
          <w:szCs w:val="24"/>
          <w:lang w:val="fr-FR"/>
        </w:rPr>
        <w:t>i.</w:t>
      </w:r>
    </w:p>
    <w:p w:rsidR="004764B6" w:rsidRDefault="004764B6" w:rsidP="00BF51C7">
      <w:pPr>
        <w:tabs>
          <w:tab w:val="num" w:pos="720"/>
          <w:tab w:val="left" w:pos="3202"/>
        </w:tabs>
        <w:spacing w:after="0"/>
        <w:rPr>
          <w:sz w:val="24"/>
          <w:szCs w:val="24"/>
          <w:lang w:val="fr-FR"/>
        </w:rPr>
      </w:pPr>
    </w:p>
    <w:p w:rsidR="00BF51C7" w:rsidRPr="00CD75E4" w:rsidRDefault="00BF51C7" w:rsidP="00BF51C7">
      <w:pPr>
        <w:tabs>
          <w:tab w:val="num" w:pos="720"/>
          <w:tab w:val="left" w:pos="3202"/>
        </w:tabs>
        <w:spacing w:after="0"/>
        <w:rPr>
          <w:sz w:val="24"/>
          <w:szCs w:val="24"/>
          <w:lang w:val="fr-FR"/>
        </w:rPr>
      </w:pPr>
    </w:p>
    <w:p w:rsidR="00BF51C7" w:rsidRPr="00BF51C7" w:rsidRDefault="00BF51C7" w:rsidP="00BF51C7">
      <w:pPr>
        <w:pStyle w:val="Paragraphedeliste"/>
        <w:spacing w:after="0"/>
        <w:ind w:left="360"/>
        <w:rPr>
          <w:sz w:val="24"/>
          <w:szCs w:val="24"/>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lastRenderedPageBreak/>
        <w:t>Objectif</w:t>
      </w:r>
    </w:p>
    <w:p w:rsidR="00BF51C7" w:rsidRPr="00BF51C7" w:rsidRDefault="00BF51C7" w:rsidP="00BF51C7">
      <w:pPr>
        <w:tabs>
          <w:tab w:val="left" w:pos="360"/>
        </w:tabs>
        <w:spacing w:after="0"/>
        <w:rPr>
          <w:sz w:val="24"/>
          <w:szCs w:val="24"/>
        </w:rPr>
      </w:pP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xml:space="preserve">L’objectif de cette réunion vise : </w:t>
      </w: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la m</w:t>
      </w:r>
      <w:r w:rsidRPr="00F95E01">
        <w:rPr>
          <w:sz w:val="28"/>
          <w:szCs w:val="28"/>
          <w:lang w:val="fr-FR"/>
        </w:rPr>
        <w:t>ise en place de l’équipe nationale d’évaluation</w:t>
      </w:r>
    </w:p>
    <w:p w:rsidR="00B47560" w:rsidRPr="00916197" w:rsidRDefault="00B47560" w:rsidP="00B47560">
      <w:pPr>
        <w:rPr>
          <w:rFonts w:ascii="Trebuchet MS" w:hAnsi="Trebuchet MS"/>
          <w:sz w:val="24"/>
          <w:szCs w:val="24"/>
          <w:lang w:val="fr-FR"/>
        </w:rPr>
      </w:pPr>
      <w:r w:rsidRPr="00916197">
        <w:rPr>
          <w:rFonts w:ascii="Trebuchet MS" w:hAnsi="Trebuchet MS"/>
          <w:sz w:val="24"/>
          <w:szCs w:val="24"/>
          <w:lang w:val="fr-FR"/>
        </w:rPr>
        <w:t>- La présentation de la feuille de route, des objectifs et des outils d’évaluation</w:t>
      </w:r>
    </w:p>
    <w:p w:rsidR="00B47560" w:rsidRPr="00F95E01" w:rsidRDefault="00B47560" w:rsidP="00B47560">
      <w:pPr>
        <w:rPr>
          <w:sz w:val="28"/>
          <w:szCs w:val="28"/>
          <w:lang w:val="fr-FR"/>
        </w:rPr>
      </w:pPr>
      <w:r w:rsidRPr="00916197">
        <w:rPr>
          <w:rFonts w:ascii="Trebuchet MS" w:hAnsi="Trebuchet MS"/>
          <w:sz w:val="24"/>
          <w:szCs w:val="24"/>
          <w:lang w:val="fr-FR"/>
        </w:rPr>
        <w:t>- l’évaluation</w:t>
      </w:r>
      <w:r w:rsidRPr="00F95E01">
        <w:rPr>
          <w:sz w:val="28"/>
          <w:szCs w:val="28"/>
          <w:lang w:val="fr-FR"/>
        </w:rPr>
        <w:t xml:space="preserve"> interne des capacités de mise en œuvre du RSI (2005) au Mali  </w:t>
      </w:r>
    </w:p>
    <w:p w:rsidR="00BF51C7" w:rsidRPr="00CD75E4" w:rsidRDefault="00BF51C7" w:rsidP="00BF51C7">
      <w:pPr>
        <w:tabs>
          <w:tab w:val="left" w:pos="360"/>
        </w:tabs>
        <w:spacing w:after="0"/>
        <w:rPr>
          <w:sz w:val="24"/>
          <w:szCs w:val="24"/>
          <w:lang w:val="fr-FR"/>
        </w:rPr>
      </w:pPr>
    </w:p>
    <w:p w:rsidR="00BF51C7" w:rsidRPr="00BF51C7" w:rsidRDefault="00BF51C7" w:rsidP="00BF51C7">
      <w:pPr>
        <w:pStyle w:val="Paragraphedeliste"/>
        <w:numPr>
          <w:ilvl w:val="0"/>
          <w:numId w:val="3"/>
        </w:numPr>
        <w:tabs>
          <w:tab w:val="left" w:pos="360"/>
        </w:tabs>
        <w:spacing w:after="0"/>
        <w:rPr>
          <w:b/>
          <w:sz w:val="24"/>
          <w:szCs w:val="24"/>
        </w:rPr>
      </w:pPr>
      <w:r w:rsidRPr="00BF51C7">
        <w:rPr>
          <w:b/>
          <w:sz w:val="24"/>
          <w:szCs w:val="24"/>
        </w:rPr>
        <w:t>Méthodologie de travail</w:t>
      </w:r>
    </w:p>
    <w:p w:rsidR="00BF51C7" w:rsidRPr="00BF51C7" w:rsidRDefault="00BF51C7" w:rsidP="00BF51C7">
      <w:pPr>
        <w:pStyle w:val="Paragraphedeliste"/>
        <w:tabs>
          <w:tab w:val="left" w:pos="360"/>
        </w:tabs>
        <w:spacing w:after="0"/>
        <w:ind w:left="360"/>
        <w:rPr>
          <w:sz w:val="24"/>
          <w:szCs w:val="24"/>
        </w:rPr>
      </w:pPr>
    </w:p>
    <w:p w:rsidR="00BF51C7" w:rsidRPr="00BF51C7" w:rsidRDefault="00BF51C7" w:rsidP="00BF51C7">
      <w:pPr>
        <w:pStyle w:val="Paragraphedeliste"/>
        <w:numPr>
          <w:ilvl w:val="0"/>
          <w:numId w:val="4"/>
        </w:numPr>
        <w:tabs>
          <w:tab w:val="left" w:pos="360"/>
        </w:tabs>
        <w:spacing w:after="0"/>
        <w:rPr>
          <w:sz w:val="24"/>
          <w:szCs w:val="24"/>
        </w:rPr>
      </w:pPr>
      <w:r w:rsidRPr="00BF51C7">
        <w:rPr>
          <w:sz w:val="24"/>
          <w:szCs w:val="24"/>
        </w:rPr>
        <w:t>Présentations et discussions en plénière</w:t>
      </w:r>
    </w:p>
    <w:p w:rsidR="00BF51C7" w:rsidRPr="00BF51C7" w:rsidRDefault="00BF51C7" w:rsidP="00BF51C7">
      <w:pPr>
        <w:pStyle w:val="Paragraphedeliste"/>
        <w:numPr>
          <w:ilvl w:val="0"/>
          <w:numId w:val="4"/>
        </w:numPr>
        <w:tabs>
          <w:tab w:val="left" w:pos="360"/>
        </w:tabs>
        <w:spacing w:after="0"/>
        <w:rPr>
          <w:sz w:val="24"/>
          <w:szCs w:val="24"/>
        </w:rPr>
      </w:pPr>
      <w:r w:rsidRPr="00BF51C7">
        <w:rPr>
          <w:sz w:val="24"/>
          <w:szCs w:val="24"/>
        </w:rPr>
        <w:t>Travaux de group</w:t>
      </w:r>
      <w:r w:rsidR="004764B6">
        <w:rPr>
          <w:sz w:val="24"/>
          <w:szCs w:val="24"/>
        </w:rPr>
        <w:t>e</w:t>
      </w:r>
      <w:r w:rsidRPr="00BF51C7">
        <w:rPr>
          <w:sz w:val="24"/>
          <w:szCs w:val="24"/>
        </w:rPr>
        <w:t>s</w:t>
      </w:r>
    </w:p>
    <w:p w:rsidR="00BF51C7" w:rsidRPr="00BF51C7" w:rsidRDefault="00BF51C7" w:rsidP="00BF51C7">
      <w:pPr>
        <w:pStyle w:val="Paragraphedeliste"/>
        <w:spacing w:after="0"/>
        <w:ind w:left="360"/>
        <w:rPr>
          <w:sz w:val="24"/>
          <w:szCs w:val="24"/>
        </w:rPr>
      </w:pPr>
    </w:p>
    <w:p w:rsidR="00BF51C7" w:rsidRPr="001F1B3B" w:rsidRDefault="00BF51C7" w:rsidP="00BF51C7">
      <w:pPr>
        <w:pStyle w:val="Paragraphedeliste"/>
        <w:numPr>
          <w:ilvl w:val="0"/>
          <w:numId w:val="3"/>
        </w:numPr>
        <w:tabs>
          <w:tab w:val="left" w:pos="360"/>
        </w:tabs>
        <w:spacing w:after="0"/>
        <w:rPr>
          <w:b/>
          <w:sz w:val="24"/>
          <w:szCs w:val="24"/>
        </w:rPr>
      </w:pPr>
      <w:r w:rsidRPr="00BF51C7">
        <w:rPr>
          <w:rFonts w:cstheme="majorBidi"/>
          <w:b/>
          <w:bCs/>
          <w:sz w:val="24"/>
          <w:szCs w:val="24"/>
        </w:rPr>
        <w:t>Documents de travail</w:t>
      </w:r>
    </w:p>
    <w:p w:rsidR="001F1B3B" w:rsidRPr="00841F6B" w:rsidRDefault="001F1B3B" w:rsidP="001F1B3B">
      <w:pPr>
        <w:pStyle w:val="Paragraphedeliste"/>
        <w:numPr>
          <w:ilvl w:val="0"/>
          <w:numId w:val="5"/>
        </w:numPr>
        <w:spacing w:after="0"/>
        <w:jc w:val="both"/>
        <w:outlineLvl w:val="0"/>
        <w:rPr>
          <w:rFonts w:ascii="Calibri" w:hAnsi="Calibri" w:cs="Arial"/>
          <w:bCs/>
          <w:iCs/>
        </w:rPr>
      </w:pPr>
      <w:r w:rsidRPr="00841F6B">
        <w:rPr>
          <w:rFonts w:ascii="Calibri" w:hAnsi="Calibri" w:cs="Arial"/>
          <w:bCs/>
          <w:iCs/>
        </w:rPr>
        <w:t>Document du RSI 2005</w:t>
      </w:r>
    </w:p>
    <w:p w:rsidR="001F1B3B" w:rsidRPr="00841F6B" w:rsidRDefault="001F1B3B" w:rsidP="001F1B3B">
      <w:pPr>
        <w:pStyle w:val="Paragraphedeliste"/>
        <w:numPr>
          <w:ilvl w:val="0"/>
          <w:numId w:val="5"/>
        </w:numPr>
        <w:spacing w:after="0"/>
        <w:jc w:val="both"/>
        <w:outlineLvl w:val="0"/>
        <w:rPr>
          <w:rFonts w:ascii="Calibri" w:hAnsi="Calibri" w:cs="Arial"/>
          <w:bCs/>
          <w:iCs/>
        </w:rPr>
      </w:pPr>
      <w:r w:rsidRPr="00841F6B">
        <w:rPr>
          <w:rFonts w:ascii="Calibri" w:hAnsi="Calibri" w:cs="Arial"/>
          <w:bCs/>
          <w:iCs/>
        </w:rPr>
        <w:t>Questionnaire de suivi de la mise en œuvre du RSI</w:t>
      </w:r>
    </w:p>
    <w:p w:rsidR="001F1B3B" w:rsidRDefault="001F1B3B" w:rsidP="001F1B3B">
      <w:pPr>
        <w:pStyle w:val="Paragraphedeliste"/>
        <w:numPr>
          <w:ilvl w:val="0"/>
          <w:numId w:val="5"/>
        </w:numPr>
        <w:spacing w:after="0"/>
        <w:jc w:val="both"/>
        <w:outlineLvl w:val="0"/>
        <w:rPr>
          <w:rFonts w:ascii="Calibri" w:hAnsi="Calibri" w:cs="Arial"/>
          <w:bCs/>
          <w:iCs/>
        </w:rPr>
      </w:pPr>
      <w:r>
        <w:rPr>
          <w:rFonts w:ascii="Calibri" w:hAnsi="Calibri" w:cs="Arial"/>
          <w:bCs/>
          <w:iCs/>
        </w:rPr>
        <w:t>Cadre de suivi et d’évaluation du RSI (2005)</w:t>
      </w:r>
    </w:p>
    <w:p w:rsidR="001F1B3B" w:rsidRDefault="001F1B3B" w:rsidP="001F1B3B">
      <w:pPr>
        <w:pStyle w:val="Paragraphedeliste"/>
        <w:numPr>
          <w:ilvl w:val="0"/>
          <w:numId w:val="5"/>
        </w:numPr>
        <w:spacing w:after="0"/>
        <w:jc w:val="both"/>
        <w:outlineLvl w:val="0"/>
        <w:rPr>
          <w:rFonts w:ascii="Calibri" w:hAnsi="Calibri" w:cs="Arial"/>
          <w:bCs/>
          <w:iCs/>
        </w:rPr>
      </w:pPr>
      <w:r>
        <w:rPr>
          <w:rFonts w:ascii="Calibri" w:hAnsi="Calibri" w:cs="Arial"/>
          <w:bCs/>
          <w:iCs/>
        </w:rPr>
        <w:t>Rapport de l’évaluation des écarts pour la mise en œuvre du RSI (2005) au Mali, Avril 2017</w:t>
      </w:r>
    </w:p>
    <w:p w:rsidR="001F1B3B" w:rsidRPr="00E0089E" w:rsidRDefault="001F1B3B" w:rsidP="001F1B3B">
      <w:pPr>
        <w:pStyle w:val="Paragraphedeliste"/>
        <w:numPr>
          <w:ilvl w:val="0"/>
          <w:numId w:val="5"/>
        </w:numPr>
        <w:spacing w:after="0"/>
        <w:jc w:val="both"/>
        <w:outlineLvl w:val="0"/>
        <w:rPr>
          <w:rFonts w:ascii="Calibri" w:hAnsi="Calibri" w:cs="Arial"/>
          <w:bCs/>
          <w:iCs/>
          <w:lang w:val="en-US"/>
        </w:rPr>
      </w:pPr>
      <w:r w:rsidRPr="00841F6B">
        <w:rPr>
          <w:rFonts w:ascii="Calibri" w:hAnsi="Calibri" w:cs="Arial"/>
          <w:bCs/>
          <w:iCs/>
          <w:lang w:val="en-US"/>
        </w:rPr>
        <w:t>Guide for acceleration of IHR implementation in States Parties, February 2013</w:t>
      </w:r>
    </w:p>
    <w:p w:rsidR="001F1B3B" w:rsidRPr="001F1B3B" w:rsidRDefault="001F1B3B" w:rsidP="001F1B3B">
      <w:pPr>
        <w:pStyle w:val="Paragraphedeliste"/>
        <w:tabs>
          <w:tab w:val="left" w:pos="360"/>
        </w:tabs>
        <w:spacing w:after="0"/>
        <w:ind w:left="360"/>
        <w:rPr>
          <w:b/>
          <w:sz w:val="24"/>
          <w:szCs w:val="24"/>
          <w:lang w:val="en-US"/>
        </w:rPr>
      </w:pPr>
    </w:p>
    <w:p w:rsidR="001F1B3B" w:rsidRPr="001F1B3B" w:rsidRDefault="001F1B3B" w:rsidP="001F1B3B">
      <w:pPr>
        <w:pStyle w:val="Paragraphedeliste"/>
        <w:tabs>
          <w:tab w:val="left" w:pos="360"/>
        </w:tabs>
        <w:spacing w:after="0"/>
        <w:ind w:left="360"/>
        <w:rPr>
          <w:b/>
          <w:sz w:val="24"/>
          <w:szCs w:val="24"/>
          <w:lang w:val="en-US"/>
        </w:rPr>
      </w:pPr>
    </w:p>
    <w:p w:rsidR="001F1B3B" w:rsidRPr="009D677A" w:rsidRDefault="001F1B3B" w:rsidP="001F1B3B">
      <w:pPr>
        <w:pStyle w:val="Paragraphedeliste"/>
        <w:numPr>
          <w:ilvl w:val="0"/>
          <w:numId w:val="3"/>
        </w:numPr>
        <w:tabs>
          <w:tab w:val="left" w:pos="360"/>
        </w:tabs>
        <w:spacing w:after="0"/>
        <w:rPr>
          <w:b/>
          <w:sz w:val="24"/>
          <w:szCs w:val="24"/>
        </w:rPr>
      </w:pPr>
      <w:r w:rsidRPr="001F1B3B">
        <w:rPr>
          <w:rFonts w:ascii="Calibri" w:hAnsi="Calibri" w:cs="Arial"/>
          <w:b/>
          <w:bCs/>
          <w:iCs/>
        </w:rPr>
        <w:t>Liste des structures  participant à l’atelier</w:t>
      </w:r>
    </w:p>
    <w:p w:rsidR="001F1B3B" w:rsidRPr="00841F6B" w:rsidRDefault="001F1B3B" w:rsidP="001F1B3B">
      <w:pPr>
        <w:pStyle w:val="Paragraphedeliste"/>
        <w:rPr>
          <w:rFonts w:ascii="Calibri" w:hAnsi="Calibri"/>
        </w:rPr>
      </w:pPr>
      <w:r w:rsidRPr="00841F6B">
        <w:rPr>
          <w:rFonts w:ascii="Calibri" w:hAnsi="Calibri"/>
        </w:rPr>
        <w:t>Ministère de la Santé et de l’Hygiène Publique :</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Cabinet du Ministre (Conseiller juridique)</w:t>
      </w:r>
    </w:p>
    <w:p w:rsidR="001F1B3B" w:rsidRPr="00841F6B" w:rsidRDefault="001F1B3B" w:rsidP="001F1B3B">
      <w:pPr>
        <w:pStyle w:val="Paragraphedeliste"/>
        <w:numPr>
          <w:ilvl w:val="0"/>
          <w:numId w:val="7"/>
        </w:numPr>
        <w:spacing w:after="0" w:line="240" w:lineRule="auto"/>
        <w:rPr>
          <w:rFonts w:ascii="Calibri" w:hAnsi="Calibri"/>
        </w:rPr>
      </w:pPr>
      <w:r>
        <w:rPr>
          <w:rFonts w:ascii="Calibri" w:hAnsi="Calibri"/>
        </w:rPr>
        <w:t>Equipe RSI 5(Point focal National,  points focaux : 2 INRSP, 2 DNS)</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Direction Nationale de la Santé </w:t>
      </w:r>
      <w:r>
        <w:rPr>
          <w:rFonts w:ascii="Calibri" w:hAnsi="Calibri"/>
        </w:rPr>
        <w:t xml:space="preserve">3 </w:t>
      </w:r>
      <w:r w:rsidRPr="00003E92">
        <w:rPr>
          <w:rFonts w:ascii="Calibri" w:hAnsi="Calibri"/>
        </w:rPr>
        <w:t>(chef DPLM, Hygiène, SSE)</w:t>
      </w:r>
    </w:p>
    <w:p w:rsidR="001F1B3B" w:rsidRPr="00A06D1B" w:rsidRDefault="001F1B3B" w:rsidP="001F1B3B">
      <w:pPr>
        <w:pStyle w:val="Paragraphedeliste"/>
        <w:numPr>
          <w:ilvl w:val="0"/>
          <w:numId w:val="7"/>
        </w:numPr>
        <w:spacing w:after="0" w:line="240" w:lineRule="auto"/>
        <w:rPr>
          <w:rFonts w:ascii="Calibri" w:hAnsi="Calibri"/>
        </w:rPr>
      </w:pPr>
      <w:r w:rsidRPr="00A06D1B">
        <w:rPr>
          <w:rFonts w:ascii="Calibri" w:hAnsi="Calibri"/>
        </w:rPr>
        <w:t>Institut Nationale de Recherche en Santé Publique 3 (</w:t>
      </w:r>
      <w:r>
        <w:rPr>
          <w:rFonts w:ascii="Calibri" w:hAnsi="Calibri"/>
        </w:rPr>
        <w:t xml:space="preserve">DDRB, toxico,  DSC)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Labo</w:t>
      </w:r>
      <w:r>
        <w:rPr>
          <w:rFonts w:ascii="Calibri" w:hAnsi="Calibri"/>
        </w:rPr>
        <w:t>ratoire Nationale de la Santé (1)</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Centre Hospitalier Universitaire du Point G</w:t>
      </w:r>
      <w:r>
        <w:rPr>
          <w:rFonts w:ascii="Calibri" w:hAnsi="Calibri"/>
        </w:rPr>
        <w:t xml:space="preserve"> 2</w:t>
      </w:r>
      <w:r w:rsidRPr="00841F6B">
        <w:rPr>
          <w:rFonts w:ascii="Calibri" w:hAnsi="Calibri"/>
        </w:rPr>
        <w:t xml:space="preserve"> (service radio et labo</w:t>
      </w:r>
      <w:r>
        <w:rPr>
          <w:rFonts w:ascii="Calibri" w:hAnsi="Calibri"/>
        </w:rPr>
        <w:t>ratoire</w:t>
      </w:r>
      <w:r w:rsidRPr="00841F6B">
        <w:rPr>
          <w:rFonts w:ascii="Calibri" w:hAnsi="Calibri"/>
        </w:rPr>
        <w:t xml:space="preserve">), </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Agence Nationale de Sécurité Alimentaire</w:t>
      </w:r>
      <w:r>
        <w:rPr>
          <w:rFonts w:ascii="Calibri" w:hAnsi="Calibri"/>
        </w:rPr>
        <w:t xml:space="preserve"> (1)</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Direction  des Finances et du Matériel </w:t>
      </w:r>
      <w:r>
        <w:rPr>
          <w:rFonts w:ascii="Calibri" w:hAnsi="Calibri"/>
        </w:rPr>
        <w:t>(1)</w:t>
      </w:r>
    </w:p>
    <w:p w:rsidR="001F1B3B" w:rsidRPr="00841F6B" w:rsidRDefault="001F1B3B" w:rsidP="001F1B3B">
      <w:pPr>
        <w:pStyle w:val="Paragraphedeliste"/>
        <w:numPr>
          <w:ilvl w:val="0"/>
          <w:numId w:val="7"/>
        </w:numPr>
        <w:spacing w:after="0" w:line="240" w:lineRule="auto"/>
        <w:rPr>
          <w:rFonts w:ascii="Calibri" w:hAnsi="Calibri"/>
        </w:rPr>
      </w:pPr>
      <w:r w:rsidRPr="00841F6B">
        <w:rPr>
          <w:rFonts w:ascii="Calibri" w:hAnsi="Calibri"/>
        </w:rPr>
        <w:t xml:space="preserve">C.O.U </w:t>
      </w:r>
      <w:r>
        <w:rPr>
          <w:rFonts w:ascii="Calibri" w:hAnsi="Calibri"/>
        </w:rPr>
        <w:t>(1)</w:t>
      </w:r>
    </w:p>
    <w:p w:rsidR="001F1B3B" w:rsidRDefault="001F1B3B" w:rsidP="001F1B3B">
      <w:pPr>
        <w:pStyle w:val="Paragraphedeliste"/>
        <w:numPr>
          <w:ilvl w:val="0"/>
          <w:numId w:val="7"/>
        </w:numPr>
        <w:spacing w:after="0" w:line="240" w:lineRule="auto"/>
        <w:rPr>
          <w:rFonts w:ascii="Calibri" w:hAnsi="Calibri"/>
        </w:rPr>
      </w:pPr>
      <w:r w:rsidRPr="00841F6B">
        <w:rPr>
          <w:rFonts w:ascii="Calibri" w:hAnsi="Calibri"/>
        </w:rPr>
        <w:t>Direction des Ressources Humaine</w:t>
      </w:r>
      <w:r>
        <w:rPr>
          <w:rFonts w:ascii="Calibri" w:hAnsi="Calibri"/>
        </w:rPr>
        <w:t xml:space="preserve"> (1)</w:t>
      </w:r>
    </w:p>
    <w:p w:rsidR="001F1B3B" w:rsidRPr="00841F6B" w:rsidRDefault="001F1B3B" w:rsidP="001F1B3B">
      <w:pPr>
        <w:pStyle w:val="Paragraphedeliste"/>
        <w:numPr>
          <w:ilvl w:val="0"/>
          <w:numId w:val="7"/>
        </w:numPr>
        <w:spacing w:after="0" w:line="240" w:lineRule="auto"/>
        <w:rPr>
          <w:rFonts w:ascii="Calibri" w:hAnsi="Calibri"/>
        </w:rPr>
      </w:pPr>
      <w:r>
        <w:rPr>
          <w:rFonts w:ascii="Calibri" w:hAnsi="Calibri"/>
        </w:rPr>
        <w:t xml:space="preserve">Directions Régionales de la Santé 7 (Bamako, </w:t>
      </w:r>
      <w:r w:rsidRPr="0050441C">
        <w:rPr>
          <w:rFonts w:ascii="Calibri" w:hAnsi="Calibri" w:cs="Arial"/>
        </w:rPr>
        <w:t>Kayes, Koulikoro, Sikasso, Ségou, Gao, Mopti, Tombouctou</w:t>
      </w:r>
      <w:r>
        <w:rPr>
          <w:rFonts w:ascii="Calibri" w:hAnsi="Calibri" w:cs="Arial"/>
        </w:rPr>
        <w:t>, Kidal)</w:t>
      </w:r>
      <w:r w:rsidRPr="0050441C">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 xml:space="preserve">Ministère du Développement Rural : </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Direction Nationale des services vétérinaires</w:t>
      </w:r>
      <w:r>
        <w:rPr>
          <w:rFonts w:ascii="Calibri" w:hAnsi="Calibri"/>
        </w:rPr>
        <w:t xml:space="preserve"> (1)</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 xml:space="preserve">Laboratoire Centrale Vétérinaire </w:t>
      </w:r>
      <w:r>
        <w:rPr>
          <w:rFonts w:ascii="Calibri" w:hAnsi="Calibri"/>
        </w:rPr>
        <w:t>(1)</w:t>
      </w:r>
    </w:p>
    <w:p w:rsidR="001F1B3B" w:rsidRPr="00841F6B" w:rsidRDefault="001F1B3B" w:rsidP="001F1B3B">
      <w:pPr>
        <w:pStyle w:val="Paragraphedeliste"/>
        <w:numPr>
          <w:ilvl w:val="0"/>
          <w:numId w:val="8"/>
        </w:numPr>
        <w:spacing w:after="0" w:line="240" w:lineRule="auto"/>
        <w:rPr>
          <w:rFonts w:ascii="Calibri" w:hAnsi="Calibri"/>
        </w:rPr>
      </w:pPr>
      <w:r w:rsidRPr="00841F6B">
        <w:rPr>
          <w:rFonts w:ascii="Calibri" w:hAnsi="Calibri"/>
        </w:rPr>
        <w:t xml:space="preserve">Direction Nationale de l’agriculture </w:t>
      </w:r>
      <w:r>
        <w:rPr>
          <w:rFonts w:ascii="Calibri" w:hAnsi="Calibri"/>
        </w:rPr>
        <w:t>(1)</w:t>
      </w:r>
    </w:p>
    <w:p w:rsidR="001F1B3B" w:rsidRPr="00841F6B" w:rsidRDefault="001F1B3B" w:rsidP="001F1B3B">
      <w:pPr>
        <w:pStyle w:val="Paragraphedeliste"/>
        <w:rPr>
          <w:rFonts w:ascii="Calibri" w:hAnsi="Calibri"/>
        </w:rPr>
      </w:pPr>
    </w:p>
    <w:p w:rsidR="00916197" w:rsidRDefault="00916197"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lastRenderedPageBreak/>
        <w:t>Ministère de la Défense</w:t>
      </w:r>
    </w:p>
    <w:p w:rsidR="001F1B3B" w:rsidRPr="00841F6B" w:rsidRDefault="001F1B3B" w:rsidP="001F1B3B">
      <w:pPr>
        <w:pStyle w:val="Paragraphedeliste"/>
        <w:numPr>
          <w:ilvl w:val="0"/>
          <w:numId w:val="10"/>
        </w:numPr>
        <w:spacing w:after="0" w:line="240" w:lineRule="auto"/>
        <w:rPr>
          <w:rFonts w:ascii="Calibri" w:hAnsi="Calibri"/>
        </w:rPr>
      </w:pPr>
      <w:r w:rsidRPr="00841F6B">
        <w:rPr>
          <w:rFonts w:ascii="Calibri" w:hAnsi="Calibri"/>
        </w:rPr>
        <w:t>Direction du Service de Santé des Armées</w:t>
      </w:r>
      <w:r>
        <w:rPr>
          <w:rFonts w:ascii="Calibri" w:hAnsi="Calibri"/>
        </w:rPr>
        <w:t xml:space="preserve"> (1)</w:t>
      </w:r>
    </w:p>
    <w:p w:rsidR="001F1B3B" w:rsidRPr="00841F6B" w:rsidRDefault="001F1B3B" w:rsidP="001F1B3B">
      <w:pPr>
        <w:pStyle w:val="Paragraphedeliste"/>
        <w:numPr>
          <w:ilvl w:val="0"/>
          <w:numId w:val="10"/>
        </w:numPr>
        <w:spacing w:after="0" w:line="240" w:lineRule="auto"/>
        <w:rPr>
          <w:rFonts w:ascii="Calibri" w:hAnsi="Calibri"/>
        </w:rPr>
      </w:pPr>
      <w:r w:rsidRPr="00841F6B">
        <w:rPr>
          <w:rFonts w:ascii="Calibri" w:hAnsi="Calibri"/>
        </w:rPr>
        <w:t>Direction du Génie militaire</w:t>
      </w:r>
      <w:r>
        <w:rPr>
          <w:rFonts w:ascii="Calibri" w:hAnsi="Calibri"/>
        </w:rPr>
        <w:t xml:space="preserve"> (1)</w:t>
      </w:r>
    </w:p>
    <w:p w:rsidR="001F1B3B" w:rsidRPr="00841F6B" w:rsidRDefault="001F1B3B" w:rsidP="001F1B3B">
      <w:pPr>
        <w:pStyle w:val="Paragraphedeliste"/>
        <w:ind w:left="1440"/>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 la Solidarité, de  l’action humanitaire et de la reconstruction du Nord:</w:t>
      </w:r>
    </w:p>
    <w:p w:rsidR="001F1B3B" w:rsidRPr="00841F6B" w:rsidRDefault="001F1B3B" w:rsidP="001F1B3B">
      <w:pPr>
        <w:pStyle w:val="Paragraphedeliste"/>
        <w:numPr>
          <w:ilvl w:val="0"/>
          <w:numId w:val="11"/>
        </w:numPr>
        <w:spacing w:after="0" w:line="240" w:lineRule="auto"/>
        <w:rPr>
          <w:rFonts w:ascii="Calibri" w:hAnsi="Calibri"/>
        </w:rPr>
      </w:pPr>
      <w:r w:rsidRPr="00841F6B">
        <w:rPr>
          <w:rFonts w:ascii="Calibri" w:hAnsi="Calibri"/>
        </w:rPr>
        <w:t>Direction Nationale du Développement Social et de  l’économie solidaire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l’Assainissement, de l’Environnement et du Développement Durable</w:t>
      </w:r>
    </w:p>
    <w:p w:rsidR="001F1B3B" w:rsidRPr="00841F6B" w:rsidRDefault="001F1B3B" w:rsidP="001F1B3B">
      <w:pPr>
        <w:pStyle w:val="Paragraphedeliste"/>
        <w:numPr>
          <w:ilvl w:val="0"/>
          <w:numId w:val="9"/>
        </w:numPr>
        <w:spacing w:after="0" w:line="240" w:lineRule="auto"/>
        <w:rPr>
          <w:rFonts w:ascii="Calibri" w:hAnsi="Calibri"/>
        </w:rPr>
      </w:pPr>
      <w:r w:rsidRPr="00841F6B">
        <w:rPr>
          <w:rFonts w:ascii="Calibri" w:hAnsi="Calibri"/>
        </w:rPr>
        <w:t>Direction Nationale de l’Environnement</w:t>
      </w:r>
      <w:r>
        <w:rPr>
          <w:rFonts w:ascii="Calibri" w:hAnsi="Calibri"/>
        </w:rPr>
        <w:t xml:space="preserve"> (1)</w:t>
      </w:r>
    </w:p>
    <w:p w:rsidR="001F1B3B" w:rsidRDefault="001F1B3B" w:rsidP="001F1B3B">
      <w:pPr>
        <w:pStyle w:val="Paragraphedeliste"/>
        <w:numPr>
          <w:ilvl w:val="0"/>
          <w:numId w:val="9"/>
        </w:numPr>
        <w:spacing w:after="0" w:line="240" w:lineRule="auto"/>
        <w:rPr>
          <w:rFonts w:ascii="Calibri" w:hAnsi="Calibri"/>
        </w:rPr>
      </w:pPr>
      <w:r w:rsidRPr="00841F6B">
        <w:rPr>
          <w:rFonts w:ascii="Calibri" w:hAnsi="Calibri"/>
        </w:rPr>
        <w:t xml:space="preserve">Direction Nationale de l’Assainissement, du Control des Pollutions et des Nuisances </w:t>
      </w:r>
      <w:r>
        <w:rPr>
          <w:rFonts w:ascii="Calibri" w:hAnsi="Calibri"/>
        </w:rPr>
        <w:t>(1)</w:t>
      </w:r>
    </w:p>
    <w:p w:rsidR="001F1B3B" w:rsidRPr="00841F6B" w:rsidRDefault="001F1B3B" w:rsidP="001F1B3B">
      <w:pPr>
        <w:pStyle w:val="Paragraphedeliste"/>
        <w:ind w:left="1080"/>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 l’Energie et de l’Eau</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l’Energie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des Eaux</w:t>
      </w:r>
      <w:r>
        <w:rPr>
          <w:rFonts w:ascii="Calibri" w:hAnsi="Calibri"/>
        </w:rPr>
        <w:t xml:space="preserve"> (1)</w:t>
      </w:r>
    </w:p>
    <w:p w:rsidR="001F1B3B" w:rsidRPr="00841F6B" w:rsidRDefault="001F1B3B"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Ministère des mines</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des Mines</w:t>
      </w:r>
      <w:r>
        <w:rPr>
          <w:rFonts w:ascii="Calibri" w:hAnsi="Calibri"/>
        </w:rPr>
        <w:t xml:space="preserve"> (1)</w:t>
      </w:r>
    </w:p>
    <w:p w:rsidR="001F1B3B" w:rsidRPr="00841F6B" w:rsidRDefault="001F1B3B" w:rsidP="001F1B3B">
      <w:pPr>
        <w:pStyle w:val="Paragraphedeliste"/>
        <w:rPr>
          <w:rFonts w:ascii="Calibri" w:hAnsi="Calibri"/>
        </w:rPr>
      </w:pPr>
    </w:p>
    <w:p w:rsidR="001F1B3B" w:rsidRPr="00841F6B" w:rsidRDefault="001F1B3B" w:rsidP="001F1B3B">
      <w:pPr>
        <w:pStyle w:val="Paragraphedeliste"/>
        <w:rPr>
          <w:rFonts w:ascii="Calibri" w:hAnsi="Calibri"/>
        </w:rPr>
      </w:pPr>
      <w:r w:rsidRPr="00841F6B">
        <w:rPr>
          <w:rFonts w:ascii="Calibri" w:hAnsi="Calibri"/>
        </w:rPr>
        <w:t xml:space="preserve">Ministère de la Sécurité Intérieure </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la  Protection civile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l’Administration Territoriale et de la Décentralisation</w:t>
      </w:r>
    </w:p>
    <w:p w:rsidR="001F1B3B" w:rsidRDefault="001F1B3B" w:rsidP="001F1B3B">
      <w:pPr>
        <w:pStyle w:val="Paragraphedeliste"/>
        <w:numPr>
          <w:ilvl w:val="0"/>
          <w:numId w:val="12"/>
        </w:numPr>
        <w:spacing w:after="0" w:line="240" w:lineRule="auto"/>
        <w:rPr>
          <w:rFonts w:ascii="Calibri" w:hAnsi="Calibri"/>
        </w:rPr>
      </w:pPr>
      <w:r w:rsidRPr="00841F6B">
        <w:rPr>
          <w:rFonts w:ascii="Calibri" w:hAnsi="Calibri"/>
        </w:rPr>
        <w:t xml:space="preserve">Direction Nationale des Collectivités </w:t>
      </w:r>
      <w:r>
        <w:rPr>
          <w:rFonts w:ascii="Calibri" w:hAnsi="Calibri"/>
        </w:rPr>
        <w:t>(1)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Ministère de l’Equipement, des Transports et du Désenclavement</w:t>
      </w:r>
    </w:p>
    <w:p w:rsidR="001F1B3B" w:rsidRPr="0069719D" w:rsidRDefault="001F1B3B" w:rsidP="001F1B3B">
      <w:pPr>
        <w:pStyle w:val="Paragraphedeliste"/>
        <w:numPr>
          <w:ilvl w:val="0"/>
          <w:numId w:val="12"/>
        </w:numPr>
        <w:spacing w:after="0" w:line="240" w:lineRule="auto"/>
        <w:rPr>
          <w:rFonts w:ascii="Calibri" w:hAnsi="Calibri"/>
        </w:rPr>
      </w:pPr>
      <w:r w:rsidRPr="00841F6B">
        <w:rPr>
          <w:rFonts w:ascii="Calibri" w:hAnsi="Calibri"/>
        </w:rPr>
        <w:t>Direction Nationale de  l’Aviation Civile</w:t>
      </w:r>
      <w:r>
        <w:rPr>
          <w:rFonts w:ascii="Calibri" w:hAnsi="Calibri"/>
        </w:rPr>
        <w:t xml:space="preserve"> (1)</w:t>
      </w:r>
      <w:r w:rsidRPr="00841F6B">
        <w:rPr>
          <w:rFonts w:ascii="Calibri" w:hAnsi="Calibri"/>
        </w:rPr>
        <w:br/>
      </w:r>
    </w:p>
    <w:p w:rsidR="001F1B3B" w:rsidRPr="00841F6B" w:rsidRDefault="001F1B3B" w:rsidP="001F1B3B">
      <w:pPr>
        <w:pStyle w:val="Paragraphedeliste"/>
        <w:rPr>
          <w:rFonts w:ascii="Calibri" w:hAnsi="Calibri"/>
        </w:rPr>
      </w:pPr>
      <w:r w:rsidRPr="00841F6B">
        <w:rPr>
          <w:rFonts w:ascii="Calibri" w:hAnsi="Calibri"/>
        </w:rPr>
        <w:t>Partenaires</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OMS</w:t>
      </w:r>
      <w:r>
        <w:rPr>
          <w:rFonts w:ascii="Calibri" w:hAnsi="Calibri"/>
        </w:rPr>
        <w:t xml:space="preserve"> (4)</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USAID</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CDC</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OIM</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Croix Rouge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Coopération Canadienne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Coopération Française</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UNICEF</w:t>
      </w:r>
      <w:r>
        <w:rPr>
          <w:rFonts w:ascii="Calibri" w:hAnsi="Calibri"/>
        </w:rPr>
        <w:t xml:space="preserve"> (1)</w:t>
      </w:r>
    </w:p>
    <w:p w:rsidR="001F1B3B" w:rsidRPr="00841F6B" w:rsidRDefault="001F1B3B" w:rsidP="001F1B3B">
      <w:pPr>
        <w:pStyle w:val="Paragraphedeliste"/>
        <w:numPr>
          <w:ilvl w:val="0"/>
          <w:numId w:val="12"/>
        </w:numPr>
        <w:spacing w:after="0" w:line="240" w:lineRule="auto"/>
        <w:rPr>
          <w:rFonts w:ascii="Calibri" w:hAnsi="Calibri"/>
        </w:rPr>
      </w:pPr>
      <w:r w:rsidRPr="00841F6B">
        <w:rPr>
          <w:rFonts w:ascii="Calibri" w:hAnsi="Calibri"/>
        </w:rPr>
        <w:t>MSF</w:t>
      </w:r>
      <w:r>
        <w:rPr>
          <w:rFonts w:ascii="Calibri" w:hAnsi="Calibri"/>
        </w:rPr>
        <w:t xml:space="preserve"> (1)</w:t>
      </w:r>
      <w:r w:rsidRPr="00841F6B">
        <w:rPr>
          <w:rFonts w:ascii="Calibri" w:hAnsi="Calibri"/>
        </w:rPr>
        <w:br/>
      </w:r>
    </w:p>
    <w:p w:rsidR="00916197" w:rsidRDefault="00916197">
      <w:pPr>
        <w:rPr>
          <w:b/>
          <w:sz w:val="24"/>
          <w:szCs w:val="24"/>
          <w:lang w:val="fr-FR"/>
        </w:rPr>
      </w:pPr>
      <w:r>
        <w:rPr>
          <w:b/>
          <w:sz w:val="24"/>
          <w:szCs w:val="24"/>
        </w:rPr>
        <w:br w:type="page"/>
      </w:r>
    </w:p>
    <w:p w:rsidR="009D677A" w:rsidRPr="009D677A" w:rsidRDefault="009D677A" w:rsidP="009D677A">
      <w:pPr>
        <w:pStyle w:val="Paragraphedeliste"/>
        <w:numPr>
          <w:ilvl w:val="0"/>
          <w:numId w:val="3"/>
        </w:numPr>
        <w:tabs>
          <w:tab w:val="left" w:pos="360"/>
        </w:tabs>
        <w:spacing w:after="0"/>
        <w:rPr>
          <w:b/>
          <w:sz w:val="24"/>
          <w:szCs w:val="24"/>
        </w:rPr>
      </w:pPr>
      <w:r w:rsidRPr="009D677A">
        <w:rPr>
          <w:b/>
          <w:sz w:val="24"/>
          <w:szCs w:val="24"/>
        </w:rPr>
        <w:lastRenderedPageBreak/>
        <w:t>Agenda Provisoire</w:t>
      </w:r>
    </w:p>
    <w:p w:rsidR="009D677A" w:rsidRPr="009D677A" w:rsidRDefault="009D677A" w:rsidP="009D677A">
      <w:pPr>
        <w:spacing w:after="0"/>
        <w:rPr>
          <w:rFonts w:cs="Arial"/>
          <w:b/>
          <w:sz w:val="16"/>
          <w:szCs w:val="16"/>
          <w:lang w:val="fr-FR"/>
        </w:rPr>
      </w:pPr>
    </w:p>
    <w:tbl>
      <w:tblPr>
        <w:tblStyle w:val="Grilledutableau"/>
        <w:tblW w:w="9198" w:type="dxa"/>
        <w:tblLayout w:type="fixed"/>
        <w:tblLook w:val="04A0"/>
      </w:tblPr>
      <w:tblGrid>
        <w:gridCol w:w="1075"/>
        <w:gridCol w:w="7020"/>
        <w:gridCol w:w="1103"/>
      </w:tblGrid>
      <w:tr w:rsidR="009D677A" w:rsidRPr="009D677A" w:rsidTr="00F95E01">
        <w:tc>
          <w:tcPr>
            <w:tcW w:w="1075" w:type="dxa"/>
          </w:tcPr>
          <w:p w:rsidR="009D677A" w:rsidRPr="00BF51C7" w:rsidRDefault="009D677A" w:rsidP="00A34B68">
            <w:pPr>
              <w:jc w:val="center"/>
              <w:rPr>
                <w:rFonts w:cs="Arial"/>
                <w:b/>
                <w:sz w:val="24"/>
                <w:szCs w:val="24"/>
              </w:rPr>
            </w:pPr>
            <w:r w:rsidRPr="00BF51C7">
              <w:rPr>
                <w:rFonts w:cs="Arial"/>
                <w:b/>
                <w:sz w:val="24"/>
                <w:szCs w:val="24"/>
              </w:rPr>
              <w:t>HEURE</w:t>
            </w:r>
          </w:p>
        </w:tc>
        <w:tc>
          <w:tcPr>
            <w:tcW w:w="7020" w:type="dxa"/>
          </w:tcPr>
          <w:p w:rsidR="009D677A" w:rsidRPr="00BF51C7" w:rsidRDefault="009D677A" w:rsidP="00A34B68">
            <w:pPr>
              <w:jc w:val="center"/>
              <w:rPr>
                <w:rFonts w:cs="Arial"/>
                <w:b/>
                <w:sz w:val="24"/>
                <w:szCs w:val="24"/>
              </w:rPr>
            </w:pPr>
            <w:r w:rsidRPr="00BF51C7">
              <w:rPr>
                <w:rFonts w:cs="Arial"/>
                <w:b/>
                <w:sz w:val="24"/>
                <w:szCs w:val="24"/>
              </w:rPr>
              <w:t>ACTIVITE</w:t>
            </w:r>
          </w:p>
        </w:tc>
        <w:tc>
          <w:tcPr>
            <w:tcW w:w="1103" w:type="dxa"/>
          </w:tcPr>
          <w:p w:rsidR="009D677A" w:rsidRPr="00BF51C7" w:rsidRDefault="009D677A" w:rsidP="00A34B68">
            <w:pPr>
              <w:jc w:val="center"/>
              <w:rPr>
                <w:rFonts w:cs="Arial"/>
                <w:b/>
                <w:sz w:val="24"/>
                <w:szCs w:val="24"/>
              </w:rPr>
            </w:pPr>
          </w:p>
        </w:tc>
      </w:tr>
      <w:tr w:rsidR="009D677A" w:rsidRPr="009D677A" w:rsidTr="00F95E01">
        <w:trPr>
          <w:trHeight w:val="188"/>
        </w:trPr>
        <w:tc>
          <w:tcPr>
            <w:tcW w:w="9198" w:type="dxa"/>
            <w:gridSpan w:val="3"/>
          </w:tcPr>
          <w:p w:rsidR="009D677A" w:rsidRPr="00BF51C7" w:rsidRDefault="009D677A" w:rsidP="00A34B68">
            <w:pPr>
              <w:rPr>
                <w:rFonts w:cs="Arial"/>
                <w:b/>
                <w:sz w:val="16"/>
                <w:szCs w:val="16"/>
              </w:rPr>
            </w:pPr>
          </w:p>
        </w:tc>
      </w:tr>
      <w:tr w:rsidR="009D677A" w:rsidRPr="009D677A" w:rsidTr="00F95E01">
        <w:tc>
          <w:tcPr>
            <w:tcW w:w="1075" w:type="dxa"/>
            <w:shd w:val="clear" w:color="auto" w:fill="F2F2F2" w:themeFill="background1" w:themeFillShade="F2"/>
          </w:tcPr>
          <w:p w:rsidR="009D677A" w:rsidRPr="00BF51C7" w:rsidRDefault="009D677A" w:rsidP="00A34B68">
            <w:pPr>
              <w:rPr>
                <w:rFonts w:cs="Arial"/>
                <w:b/>
                <w:sz w:val="24"/>
                <w:szCs w:val="24"/>
              </w:rPr>
            </w:pPr>
            <w:r w:rsidRPr="00BF51C7">
              <w:rPr>
                <w:rFonts w:cs="Arial"/>
                <w:b/>
                <w:sz w:val="24"/>
                <w:szCs w:val="24"/>
              </w:rPr>
              <w:t>0830 - 0900</w:t>
            </w:r>
          </w:p>
        </w:tc>
        <w:tc>
          <w:tcPr>
            <w:tcW w:w="7020" w:type="dxa"/>
            <w:shd w:val="clear" w:color="auto" w:fill="F2F2F2" w:themeFill="background1" w:themeFillShade="F2"/>
          </w:tcPr>
          <w:p w:rsidR="009D677A" w:rsidRPr="00BF51C7" w:rsidRDefault="009D677A" w:rsidP="00A34B68">
            <w:pPr>
              <w:rPr>
                <w:rFonts w:cs="Arial"/>
                <w:b/>
                <w:sz w:val="24"/>
                <w:szCs w:val="24"/>
              </w:rPr>
            </w:pPr>
            <w:r w:rsidRPr="00BF51C7">
              <w:rPr>
                <w:rFonts w:cs="Arial"/>
                <w:b/>
                <w:sz w:val="24"/>
                <w:szCs w:val="24"/>
              </w:rPr>
              <w:t>Inscription</w:t>
            </w:r>
          </w:p>
        </w:tc>
        <w:tc>
          <w:tcPr>
            <w:tcW w:w="1103" w:type="dxa"/>
            <w:shd w:val="clear" w:color="auto" w:fill="F2F2F2" w:themeFill="background1" w:themeFillShade="F2"/>
          </w:tcPr>
          <w:p w:rsidR="009D677A" w:rsidRPr="00BF51C7" w:rsidRDefault="009D677A" w:rsidP="00A34B68">
            <w:pPr>
              <w:rPr>
                <w:rFonts w:cs="Arial"/>
                <w:sz w:val="24"/>
                <w:szCs w:val="24"/>
              </w:rPr>
            </w:pPr>
          </w:p>
        </w:tc>
      </w:tr>
      <w:tr w:rsidR="009D677A" w:rsidRPr="009D677A" w:rsidTr="00F95E01">
        <w:tc>
          <w:tcPr>
            <w:tcW w:w="9198" w:type="dxa"/>
            <w:gridSpan w:val="3"/>
          </w:tcPr>
          <w:p w:rsidR="009D677A" w:rsidRPr="00BF51C7" w:rsidRDefault="009D677A" w:rsidP="00A34B68">
            <w:pPr>
              <w:rPr>
                <w:rFonts w:cs="Arial"/>
                <w:sz w:val="16"/>
                <w:szCs w:val="16"/>
              </w:rPr>
            </w:pPr>
          </w:p>
        </w:tc>
      </w:tr>
      <w:tr w:rsidR="009D677A" w:rsidRPr="00F95E01" w:rsidTr="00F95E01">
        <w:tc>
          <w:tcPr>
            <w:tcW w:w="9198" w:type="dxa"/>
            <w:gridSpan w:val="3"/>
          </w:tcPr>
          <w:p w:rsidR="009D677A" w:rsidRPr="00796F36" w:rsidRDefault="009D677A" w:rsidP="009D677A">
            <w:pPr>
              <w:rPr>
                <w:rFonts w:cs="Arial"/>
                <w:b/>
                <w:i/>
                <w:sz w:val="24"/>
                <w:szCs w:val="24"/>
              </w:rPr>
            </w:pPr>
            <w:r w:rsidRPr="00796F36">
              <w:rPr>
                <w:rFonts w:cs="Arial"/>
                <w:b/>
                <w:i/>
                <w:sz w:val="24"/>
                <w:szCs w:val="24"/>
              </w:rPr>
              <w:t>SES</w:t>
            </w:r>
            <w:r>
              <w:rPr>
                <w:rFonts w:cs="Arial"/>
                <w:b/>
                <w:i/>
                <w:sz w:val="24"/>
                <w:szCs w:val="24"/>
              </w:rPr>
              <w:t>SION : Introductions et rappel</w:t>
            </w:r>
            <w:r w:rsidRPr="00796F36">
              <w:rPr>
                <w:rFonts w:cs="Arial"/>
                <w:b/>
                <w:i/>
                <w:sz w:val="24"/>
                <w:szCs w:val="24"/>
              </w:rPr>
              <w:t xml:space="preserve"> sur le RSI</w:t>
            </w:r>
            <w:r>
              <w:rPr>
                <w:rFonts w:cs="Arial"/>
                <w:b/>
                <w:i/>
                <w:sz w:val="24"/>
                <w:szCs w:val="24"/>
              </w:rPr>
              <w:t xml:space="preserve"> et</w:t>
            </w:r>
            <w:r w:rsidRPr="00796F36">
              <w:rPr>
                <w:rFonts w:cs="Arial"/>
                <w:b/>
                <w:i/>
                <w:sz w:val="24"/>
                <w:szCs w:val="24"/>
              </w:rPr>
              <w:t xml:space="preserve"> l’Evaluation </w:t>
            </w:r>
            <w:r w:rsidRPr="00BF51C7">
              <w:rPr>
                <w:rFonts w:cs="Arial"/>
                <w:b/>
                <w:i/>
                <w:sz w:val="24"/>
                <w:szCs w:val="24"/>
                <w:lang w:val="fr-ML"/>
              </w:rPr>
              <w:t>Externe</w:t>
            </w:r>
            <w:r w:rsidRPr="00796F36">
              <w:rPr>
                <w:rFonts w:cs="Arial"/>
                <w:b/>
                <w:i/>
                <w:sz w:val="24"/>
                <w:szCs w:val="24"/>
              </w:rPr>
              <w:t xml:space="preserve"> Conjointe des </w:t>
            </w:r>
            <w:r w:rsidRPr="00BF51C7">
              <w:rPr>
                <w:rFonts w:cs="Arial"/>
                <w:b/>
                <w:i/>
                <w:sz w:val="24"/>
                <w:szCs w:val="24"/>
              </w:rPr>
              <w:t>Capacités</w:t>
            </w:r>
            <w:r w:rsidRPr="00796F36">
              <w:rPr>
                <w:rFonts w:cs="Arial"/>
                <w:b/>
                <w:i/>
                <w:sz w:val="24"/>
                <w:szCs w:val="24"/>
              </w:rPr>
              <w:t xml:space="preserve"> du RSI (2005)</w:t>
            </w:r>
          </w:p>
        </w:tc>
      </w:tr>
      <w:tr w:rsidR="009D677A" w:rsidRPr="00BF51C7" w:rsidTr="00F95E01">
        <w:tc>
          <w:tcPr>
            <w:tcW w:w="1075" w:type="dxa"/>
          </w:tcPr>
          <w:p w:rsidR="009D677A" w:rsidRPr="00BF51C7" w:rsidRDefault="009D677A" w:rsidP="00A34B68">
            <w:pPr>
              <w:rPr>
                <w:rFonts w:cs="Arial"/>
                <w:b/>
                <w:sz w:val="24"/>
                <w:szCs w:val="24"/>
              </w:rPr>
            </w:pPr>
            <w:r w:rsidRPr="00BF51C7">
              <w:rPr>
                <w:rFonts w:cs="Arial"/>
                <w:b/>
                <w:sz w:val="24"/>
                <w:szCs w:val="24"/>
              </w:rPr>
              <w:t>0900 - 0930</w:t>
            </w:r>
          </w:p>
        </w:tc>
        <w:tc>
          <w:tcPr>
            <w:tcW w:w="7020" w:type="dxa"/>
          </w:tcPr>
          <w:p w:rsidR="009D677A" w:rsidRPr="00796F36" w:rsidRDefault="009D677A" w:rsidP="00A34B68">
            <w:pPr>
              <w:rPr>
                <w:rFonts w:cs="Arial"/>
                <w:sz w:val="24"/>
                <w:szCs w:val="24"/>
              </w:rPr>
            </w:pPr>
            <w:r w:rsidRPr="00BF51C7">
              <w:rPr>
                <w:rFonts w:cs="Arial"/>
                <w:color w:val="222222"/>
                <w:sz w:val="24"/>
                <w:szCs w:val="24"/>
              </w:rPr>
              <w:t>Mots de Bienvenue</w:t>
            </w:r>
            <w:r w:rsidRPr="00BF51C7">
              <w:rPr>
                <w:rFonts w:cs="Arial"/>
                <w:color w:val="222222"/>
                <w:sz w:val="24"/>
                <w:szCs w:val="24"/>
              </w:rPr>
              <w:br/>
              <w:t xml:space="preserve">But de la réunion et examen de l'ordre du </w:t>
            </w:r>
            <w:r w:rsidR="00A071F8">
              <w:rPr>
                <w:rFonts w:cs="Arial"/>
                <w:color w:val="222222"/>
                <w:sz w:val="24"/>
                <w:szCs w:val="24"/>
              </w:rPr>
              <w:t>jour de la réunion</w:t>
            </w:r>
            <w:r w:rsidR="00A071F8">
              <w:rPr>
                <w:rFonts w:cs="Arial"/>
                <w:color w:val="222222"/>
                <w:sz w:val="24"/>
                <w:szCs w:val="24"/>
              </w:rPr>
              <w:br/>
              <w:t>Présentation</w:t>
            </w:r>
            <w:r w:rsidRPr="00BF51C7">
              <w:rPr>
                <w:rFonts w:cs="Arial"/>
                <w:color w:val="222222"/>
                <w:sz w:val="24"/>
                <w:szCs w:val="24"/>
              </w:rPr>
              <w:t xml:space="preserve"> des participants</w:t>
            </w:r>
          </w:p>
        </w:tc>
        <w:tc>
          <w:tcPr>
            <w:tcW w:w="1103" w:type="dxa"/>
          </w:tcPr>
          <w:p w:rsidR="009D677A" w:rsidRPr="00BF51C7" w:rsidRDefault="009D677A" w:rsidP="00A34B68">
            <w:pPr>
              <w:rPr>
                <w:rFonts w:cs="Arial"/>
                <w:sz w:val="24"/>
                <w:szCs w:val="24"/>
                <w:lang w:val="en-US"/>
              </w:rPr>
            </w:pPr>
            <w:r w:rsidRPr="00BF51C7">
              <w:rPr>
                <w:rFonts w:cs="Arial"/>
                <w:sz w:val="24"/>
                <w:szCs w:val="24"/>
                <w:lang w:val="en-US"/>
              </w:rPr>
              <w:t>PF RSI</w:t>
            </w:r>
          </w:p>
          <w:p w:rsidR="009D677A" w:rsidRPr="00BF51C7" w:rsidRDefault="009D677A" w:rsidP="00A34B68">
            <w:pPr>
              <w:rPr>
                <w:rFonts w:cs="Arial"/>
                <w:sz w:val="24"/>
                <w:szCs w:val="24"/>
                <w:lang w:val="en-US"/>
              </w:rPr>
            </w:pPr>
          </w:p>
        </w:tc>
      </w:tr>
      <w:tr w:rsidR="009D677A" w:rsidRPr="00F95E01" w:rsidTr="00F95E01">
        <w:tc>
          <w:tcPr>
            <w:tcW w:w="1075" w:type="dxa"/>
          </w:tcPr>
          <w:p w:rsidR="009D677A" w:rsidRPr="00BF51C7" w:rsidRDefault="009D677A" w:rsidP="00A34B68">
            <w:pPr>
              <w:rPr>
                <w:rFonts w:cs="Arial"/>
                <w:b/>
                <w:sz w:val="24"/>
                <w:szCs w:val="24"/>
              </w:rPr>
            </w:pPr>
            <w:r w:rsidRPr="00BF51C7">
              <w:rPr>
                <w:rFonts w:cs="Arial"/>
                <w:b/>
                <w:sz w:val="24"/>
                <w:szCs w:val="24"/>
              </w:rPr>
              <w:t>0930 – 1030</w:t>
            </w:r>
          </w:p>
        </w:tc>
        <w:tc>
          <w:tcPr>
            <w:tcW w:w="7020" w:type="dxa"/>
          </w:tcPr>
          <w:p w:rsidR="009D677A" w:rsidRPr="00FD72F5" w:rsidRDefault="009D677A" w:rsidP="00A071F8">
            <w:pPr>
              <w:rPr>
                <w:rFonts w:cs="Arial"/>
                <w:sz w:val="24"/>
                <w:szCs w:val="24"/>
              </w:rPr>
            </w:pPr>
            <w:r w:rsidRPr="00BF51C7">
              <w:rPr>
                <w:rFonts w:cs="Arial"/>
                <w:color w:val="222222"/>
                <w:sz w:val="24"/>
                <w:szCs w:val="24"/>
              </w:rPr>
              <w:t>Vue d'ensemble d</w:t>
            </w:r>
            <w:r w:rsidR="00A071F8">
              <w:rPr>
                <w:rFonts w:cs="Arial"/>
                <w:color w:val="222222"/>
                <w:sz w:val="24"/>
                <w:szCs w:val="24"/>
              </w:rPr>
              <w:t>u</w:t>
            </w:r>
            <w:r w:rsidRPr="00BF51C7">
              <w:rPr>
                <w:rFonts w:cs="Arial"/>
                <w:color w:val="222222"/>
                <w:sz w:val="24"/>
                <w:szCs w:val="24"/>
              </w:rPr>
              <w:t xml:space="preserve"> RSI (15 minutes)</w:t>
            </w:r>
            <w:r w:rsidRPr="00BF51C7">
              <w:rPr>
                <w:rFonts w:cs="Arial"/>
                <w:color w:val="222222"/>
                <w:sz w:val="24"/>
                <w:szCs w:val="24"/>
              </w:rPr>
              <w:br/>
              <w:t>Aperçu du processus JEE et de l'outil JEE (15 minutes)</w:t>
            </w:r>
            <w:r w:rsidRPr="00BF51C7">
              <w:rPr>
                <w:rFonts w:cs="Arial"/>
                <w:color w:val="222222"/>
                <w:sz w:val="24"/>
                <w:szCs w:val="24"/>
              </w:rPr>
              <w:br/>
              <w:t>Examen de 19 domaines techniques de l'outil RSI / JEE (30 minutes)</w:t>
            </w:r>
          </w:p>
        </w:tc>
        <w:tc>
          <w:tcPr>
            <w:tcW w:w="1103" w:type="dxa"/>
          </w:tcPr>
          <w:p w:rsidR="009D677A" w:rsidRPr="00FD72F5" w:rsidRDefault="00F95E01" w:rsidP="00A34B68">
            <w:pPr>
              <w:rPr>
                <w:rFonts w:cs="Arial"/>
                <w:sz w:val="24"/>
                <w:szCs w:val="24"/>
              </w:rPr>
            </w:pPr>
            <w:r w:rsidRPr="00BF51C7">
              <w:rPr>
                <w:rFonts w:cs="Arial"/>
                <w:sz w:val="24"/>
                <w:szCs w:val="24"/>
                <w:lang w:val="en-US"/>
              </w:rPr>
              <w:t>PF RSI</w:t>
            </w:r>
          </w:p>
        </w:tc>
      </w:tr>
      <w:tr w:rsidR="009D677A" w:rsidRPr="00F95E01" w:rsidTr="00F95E01">
        <w:tc>
          <w:tcPr>
            <w:tcW w:w="9198" w:type="dxa"/>
            <w:gridSpan w:val="3"/>
          </w:tcPr>
          <w:p w:rsidR="009D677A" w:rsidRPr="00FD72F5" w:rsidRDefault="009D677A" w:rsidP="00A34B68">
            <w:pPr>
              <w:rPr>
                <w:rFonts w:cs="Arial"/>
                <w:sz w:val="16"/>
                <w:szCs w:val="16"/>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1030 – 1045</w:t>
            </w:r>
          </w:p>
        </w:tc>
        <w:tc>
          <w:tcPr>
            <w:tcW w:w="7020"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Pause-café</w:t>
            </w:r>
          </w:p>
        </w:tc>
        <w:tc>
          <w:tcPr>
            <w:tcW w:w="1103" w:type="dxa"/>
            <w:shd w:val="clear" w:color="auto" w:fill="F2F2F2" w:themeFill="background1" w:themeFillShade="F2"/>
          </w:tcPr>
          <w:p w:rsidR="009D677A" w:rsidRPr="00BF51C7" w:rsidRDefault="009D677A" w:rsidP="00A34B68">
            <w:pPr>
              <w:rPr>
                <w:rFonts w:cs="Arial"/>
                <w:sz w:val="24"/>
                <w:szCs w:val="24"/>
                <w:lang w:val="en-US"/>
              </w:rPr>
            </w:pPr>
          </w:p>
        </w:tc>
      </w:tr>
      <w:tr w:rsidR="009D677A" w:rsidRPr="00BF51C7" w:rsidTr="00F95E01">
        <w:tc>
          <w:tcPr>
            <w:tcW w:w="1075" w:type="dxa"/>
          </w:tcPr>
          <w:p w:rsidR="009D677A" w:rsidRPr="00BF51C7" w:rsidRDefault="009D677A" w:rsidP="00A34B68">
            <w:pPr>
              <w:rPr>
                <w:rFonts w:cs="Arial"/>
                <w:b/>
                <w:i/>
                <w:sz w:val="16"/>
                <w:szCs w:val="16"/>
              </w:rPr>
            </w:pPr>
          </w:p>
        </w:tc>
        <w:tc>
          <w:tcPr>
            <w:tcW w:w="7020" w:type="dxa"/>
          </w:tcPr>
          <w:p w:rsidR="009D677A" w:rsidRPr="00BF51C7" w:rsidRDefault="009D677A" w:rsidP="00A34B68">
            <w:pPr>
              <w:rPr>
                <w:rFonts w:cs="Arial"/>
                <w:b/>
                <w:i/>
                <w:sz w:val="16"/>
                <w:szCs w:val="16"/>
              </w:rPr>
            </w:pPr>
          </w:p>
        </w:tc>
        <w:tc>
          <w:tcPr>
            <w:tcW w:w="1103" w:type="dxa"/>
          </w:tcPr>
          <w:p w:rsidR="009D677A" w:rsidRPr="00BF51C7" w:rsidRDefault="009D677A" w:rsidP="00A34B68">
            <w:pPr>
              <w:rPr>
                <w:rFonts w:cs="Arial"/>
                <w:b/>
                <w:i/>
                <w:sz w:val="16"/>
                <w:szCs w:val="16"/>
              </w:rPr>
            </w:pPr>
          </w:p>
        </w:tc>
      </w:tr>
      <w:tr w:rsidR="009D677A" w:rsidRPr="00F95E01" w:rsidTr="00F95E01">
        <w:tc>
          <w:tcPr>
            <w:tcW w:w="9198" w:type="dxa"/>
            <w:gridSpan w:val="3"/>
          </w:tcPr>
          <w:p w:rsidR="009D677A" w:rsidRPr="00796F36" w:rsidRDefault="009D677A" w:rsidP="00F95E01">
            <w:pPr>
              <w:rPr>
                <w:rFonts w:cs="Arial"/>
                <w:sz w:val="24"/>
                <w:szCs w:val="24"/>
              </w:rPr>
            </w:pPr>
            <w:r w:rsidRPr="00BF51C7">
              <w:rPr>
                <w:rFonts w:cs="Arial"/>
                <w:b/>
                <w:i/>
                <w:sz w:val="24"/>
                <w:szCs w:val="24"/>
              </w:rPr>
              <w:t xml:space="preserve">SESSION: Planification pour la mise en œuvre de l’évaluation interne </w:t>
            </w:r>
            <w:r w:rsidR="00F95E01">
              <w:rPr>
                <w:rFonts w:cs="Arial"/>
                <w:b/>
                <w:i/>
                <w:sz w:val="24"/>
                <w:szCs w:val="24"/>
              </w:rPr>
              <w:t>au</w:t>
            </w:r>
            <w:r w:rsidRPr="00BF51C7">
              <w:rPr>
                <w:rFonts w:cs="Arial"/>
                <w:b/>
                <w:i/>
                <w:sz w:val="24"/>
                <w:szCs w:val="24"/>
              </w:rPr>
              <w:t xml:space="preserve"> Mali</w:t>
            </w:r>
          </w:p>
        </w:tc>
      </w:tr>
      <w:tr w:rsidR="009D677A" w:rsidRPr="00F95E01" w:rsidTr="00F95E01">
        <w:tc>
          <w:tcPr>
            <w:tcW w:w="1075" w:type="dxa"/>
          </w:tcPr>
          <w:p w:rsidR="009D677A" w:rsidRPr="00BF51C7" w:rsidRDefault="009D677A" w:rsidP="00A34B68">
            <w:pPr>
              <w:rPr>
                <w:rFonts w:cs="Arial"/>
                <w:b/>
                <w:sz w:val="24"/>
                <w:szCs w:val="24"/>
              </w:rPr>
            </w:pPr>
            <w:r w:rsidRPr="00BF51C7">
              <w:rPr>
                <w:rFonts w:cs="Arial"/>
                <w:b/>
                <w:sz w:val="24"/>
                <w:szCs w:val="24"/>
              </w:rPr>
              <w:t>1045-</w:t>
            </w:r>
          </w:p>
          <w:p w:rsidR="009D677A" w:rsidRPr="00BF51C7" w:rsidRDefault="009D677A" w:rsidP="00A34B68">
            <w:pPr>
              <w:rPr>
                <w:rFonts w:cs="Arial"/>
                <w:b/>
                <w:sz w:val="24"/>
                <w:szCs w:val="24"/>
              </w:rPr>
            </w:pPr>
            <w:r w:rsidRPr="00BF51C7">
              <w:rPr>
                <w:rFonts w:cs="Arial"/>
                <w:b/>
                <w:sz w:val="24"/>
                <w:szCs w:val="24"/>
              </w:rPr>
              <w:t>1115</w:t>
            </w:r>
          </w:p>
        </w:tc>
        <w:tc>
          <w:tcPr>
            <w:tcW w:w="7020" w:type="dxa"/>
          </w:tcPr>
          <w:p w:rsidR="009D677A" w:rsidRPr="00FD72F5" w:rsidRDefault="009D677A" w:rsidP="00A071F8">
            <w:pPr>
              <w:rPr>
                <w:rFonts w:cs="Arial"/>
                <w:sz w:val="24"/>
                <w:szCs w:val="24"/>
              </w:rPr>
            </w:pPr>
            <w:r w:rsidRPr="00BF51C7">
              <w:rPr>
                <w:rFonts w:cs="Arial"/>
                <w:color w:val="222222"/>
                <w:sz w:val="24"/>
                <w:szCs w:val="24"/>
              </w:rPr>
              <w:t>Vue d'ensemble du processus d'évaluation interne (15 min)</w:t>
            </w:r>
            <w:r w:rsidRPr="00BF51C7">
              <w:rPr>
                <w:rFonts w:cs="Arial"/>
                <w:color w:val="222222"/>
                <w:sz w:val="24"/>
                <w:szCs w:val="24"/>
              </w:rPr>
              <w:br/>
              <w:t xml:space="preserve">Approche proposée pour la mise en œuvre au Mali (par exemple, </w:t>
            </w:r>
            <w:r w:rsidR="00A071F8">
              <w:rPr>
                <w:rFonts w:cs="Arial"/>
                <w:color w:val="222222"/>
                <w:sz w:val="24"/>
                <w:szCs w:val="24"/>
              </w:rPr>
              <w:t xml:space="preserve">Répartition </w:t>
            </w:r>
            <w:r w:rsidRPr="00BF51C7">
              <w:rPr>
                <w:rFonts w:cs="Arial"/>
                <w:color w:val="222222"/>
                <w:sz w:val="24"/>
                <w:szCs w:val="24"/>
              </w:rPr>
              <w:t>en 3 groupes de travail pour compléter - prévention, détection, sections de réponse de l'outil JEE)</w:t>
            </w:r>
          </w:p>
        </w:tc>
        <w:tc>
          <w:tcPr>
            <w:tcW w:w="1103" w:type="dxa"/>
          </w:tcPr>
          <w:p w:rsidR="009D677A" w:rsidRPr="00FD72F5" w:rsidRDefault="00F95E01" w:rsidP="00A34B68">
            <w:pPr>
              <w:rPr>
                <w:rFonts w:cs="Arial"/>
                <w:sz w:val="24"/>
                <w:szCs w:val="24"/>
              </w:rPr>
            </w:pPr>
            <w:r>
              <w:rPr>
                <w:rFonts w:cs="Arial"/>
                <w:sz w:val="24"/>
                <w:szCs w:val="24"/>
                <w:lang w:val="en-US"/>
              </w:rPr>
              <w:t>Groupe</w:t>
            </w:r>
          </w:p>
        </w:tc>
      </w:tr>
      <w:tr w:rsidR="009D677A" w:rsidRPr="00BF51C7" w:rsidTr="00F95E01">
        <w:tc>
          <w:tcPr>
            <w:tcW w:w="1075" w:type="dxa"/>
          </w:tcPr>
          <w:p w:rsidR="009D677A" w:rsidRPr="00BF51C7" w:rsidRDefault="009D677A" w:rsidP="00A34B68">
            <w:pPr>
              <w:rPr>
                <w:rFonts w:cs="Arial"/>
                <w:b/>
                <w:sz w:val="24"/>
                <w:szCs w:val="24"/>
              </w:rPr>
            </w:pPr>
            <w:r w:rsidRPr="00BF51C7">
              <w:rPr>
                <w:rFonts w:cs="Arial"/>
                <w:b/>
                <w:sz w:val="24"/>
                <w:szCs w:val="24"/>
              </w:rPr>
              <w:t>1115 - 1145</w:t>
            </w:r>
          </w:p>
        </w:tc>
        <w:tc>
          <w:tcPr>
            <w:tcW w:w="7020" w:type="dxa"/>
          </w:tcPr>
          <w:p w:rsidR="009D677A" w:rsidRPr="00BF51C7" w:rsidRDefault="009D677A" w:rsidP="00A34B68">
            <w:pPr>
              <w:rPr>
                <w:rFonts w:cs="Arial"/>
                <w:sz w:val="24"/>
                <w:szCs w:val="24"/>
                <w:lang w:val="en-US"/>
              </w:rPr>
            </w:pPr>
            <w:r w:rsidRPr="00BF51C7">
              <w:rPr>
                <w:rFonts w:cs="Arial"/>
                <w:color w:val="222222"/>
                <w:sz w:val="24"/>
                <w:szCs w:val="24"/>
              </w:rPr>
              <w:t>Discussion concernant l'approche proposée</w:t>
            </w:r>
          </w:p>
        </w:tc>
        <w:tc>
          <w:tcPr>
            <w:tcW w:w="1103" w:type="dxa"/>
          </w:tcPr>
          <w:p w:rsidR="009D677A" w:rsidRPr="00BF51C7" w:rsidRDefault="00F95E01" w:rsidP="00A34B68">
            <w:pPr>
              <w:rPr>
                <w:rFonts w:cs="Arial"/>
                <w:sz w:val="24"/>
                <w:szCs w:val="24"/>
                <w:lang w:val="en-US"/>
              </w:rPr>
            </w:pPr>
            <w:r>
              <w:rPr>
                <w:rFonts w:cs="Arial"/>
                <w:sz w:val="24"/>
                <w:szCs w:val="24"/>
                <w:lang w:val="en-US"/>
              </w:rPr>
              <w:t>Groupe</w:t>
            </w:r>
          </w:p>
        </w:tc>
      </w:tr>
      <w:tr w:rsidR="00F95E01" w:rsidRPr="00BF51C7" w:rsidTr="00F95E01">
        <w:tc>
          <w:tcPr>
            <w:tcW w:w="1075" w:type="dxa"/>
          </w:tcPr>
          <w:p w:rsidR="00F95E01" w:rsidRPr="00BF51C7" w:rsidRDefault="00F95E01" w:rsidP="00A34B68">
            <w:pPr>
              <w:rPr>
                <w:rFonts w:cs="Arial"/>
                <w:b/>
                <w:sz w:val="24"/>
                <w:szCs w:val="24"/>
              </w:rPr>
            </w:pPr>
            <w:r w:rsidRPr="00BF51C7">
              <w:rPr>
                <w:rFonts w:cs="Arial"/>
                <w:b/>
                <w:sz w:val="24"/>
                <w:szCs w:val="24"/>
              </w:rPr>
              <w:t>1145 - 1300</w:t>
            </w:r>
          </w:p>
        </w:tc>
        <w:tc>
          <w:tcPr>
            <w:tcW w:w="7020" w:type="dxa"/>
          </w:tcPr>
          <w:p w:rsidR="00F95E01" w:rsidRPr="00796F36" w:rsidRDefault="00F95E01" w:rsidP="00F95E01">
            <w:pPr>
              <w:rPr>
                <w:rFonts w:cs="Arial"/>
                <w:sz w:val="24"/>
                <w:szCs w:val="24"/>
              </w:rPr>
            </w:pPr>
            <w:r>
              <w:rPr>
                <w:rFonts w:cs="Arial"/>
                <w:color w:val="222222"/>
                <w:sz w:val="24"/>
                <w:szCs w:val="24"/>
              </w:rPr>
              <w:t>Identification</w:t>
            </w:r>
            <w:r w:rsidRPr="00BF51C7">
              <w:rPr>
                <w:rFonts w:cs="Arial"/>
                <w:color w:val="222222"/>
                <w:sz w:val="24"/>
                <w:szCs w:val="24"/>
              </w:rPr>
              <w:t xml:space="preserve"> de l'expertise nationale par domaine technique </w:t>
            </w:r>
            <w:r>
              <w:rPr>
                <w:rFonts w:cs="Arial"/>
                <w:color w:val="222222"/>
                <w:sz w:val="24"/>
                <w:szCs w:val="24"/>
              </w:rPr>
              <w:t xml:space="preserve">à évaluer </w:t>
            </w:r>
            <w:r w:rsidRPr="00BF51C7">
              <w:rPr>
                <w:rFonts w:cs="Arial"/>
                <w:color w:val="222222"/>
                <w:sz w:val="24"/>
                <w:szCs w:val="24"/>
              </w:rPr>
              <w:t xml:space="preserve">et des documents </w:t>
            </w:r>
            <w:r>
              <w:rPr>
                <w:rFonts w:cs="Arial"/>
                <w:color w:val="222222"/>
                <w:sz w:val="24"/>
                <w:szCs w:val="24"/>
              </w:rPr>
              <w:t>disponibles sur les</w:t>
            </w:r>
            <w:r w:rsidRPr="00BF51C7">
              <w:rPr>
                <w:rFonts w:cs="Arial"/>
                <w:color w:val="222222"/>
                <w:sz w:val="24"/>
                <w:szCs w:val="24"/>
              </w:rPr>
              <w:t xml:space="preserve"> capacité</w:t>
            </w:r>
            <w:r>
              <w:rPr>
                <w:rFonts w:cs="Arial"/>
                <w:color w:val="222222"/>
                <w:sz w:val="24"/>
                <w:szCs w:val="24"/>
              </w:rPr>
              <w:t>s du</w:t>
            </w:r>
            <w:r w:rsidRPr="00BF51C7">
              <w:rPr>
                <w:rFonts w:cs="Arial"/>
                <w:color w:val="222222"/>
                <w:sz w:val="24"/>
                <w:szCs w:val="24"/>
              </w:rPr>
              <w:t xml:space="preserve"> RSI dans </w:t>
            </w:r>
            <w:r>
              <w:rPr>
                <w:rFonts w:cs="Arial"/>
                <w:color w:val="222222"/>
                <w:sz w:val="24"/>
                <w:szCs w:val="24"/>
              </w:rPr>
              <w:t>les</w:t>
            </w:r>
            <w:r w:rsidRPr="00BF51C7">
              <w:rPr>
                <w:rFonts w:cs="Arial"/>
                <w:color w:val="222222"/>
                <w:sz w:val="24"/>
                <w:szCs w:val="24"/>
              </w:rPr>
              <w:t xml:space="preserve"> 19 domaines techniques</w:t>
            </w:r>
            <w:r w:rsidRPr="00BF51C7">
              <w:rPr>
                <w:rFonts w:cs="Arial"/>
                <w:color w:val="222222"/>
                <w:sz w:val="24"/>
                <w:szCs w:val="24"/>
              </w:rPr>
              <w:br/>
            </w:r>
            <w:r>
              <w:rPr>
                <w:rFonts w:cs="Arial"/>
                <w:color w:val="222222"/>
                <w:sz w:val="24"/>
                <w:szCs w:val="24"/>
              </w:rPr>
              <w:t xml:space="preserve">Répartition des participants dans les </w:t>
            </w:r>
            <w:r w:rsidRPr="00BF51C7">
              <w:rPr>
                <w:rFonts w:cs="Arial"/>
                <w:color w:val="222222"/>
                <w:sz w:val="24"/>
                <w:szCs w:val="24"/>
              </w:rPr>
              <w:t>groupe</w:t>
            </w:r>
            <w:r>
              <w:rPr>
                <w:rFonts w:cs="Arial"/>
                <w:color w:val="222222"/>
                <w:sz w:val="24"/>
                <w:szCs w:val="24"/>
              </w:rPr>
              <w:t>s</w:t>
            </w:r>
            <w:r w:rsidRPr="00BF51C7">
              <w:rPr>
                <w:rFonts w:cs="Arial"/>
                <w:color w:val="222222"/>
                <w:sz w:val="24"/>
                <w:szCs w:val="24"/>
              </w:rPr>
              <w:t xml:space="preserve"> de travail</w:t>
            </w:r>
          </w:p>
        </w:tc>
        <w:tc>
          <w:tcPr>
            <w:tcW w:w="1103" w:type="dxa"/>
          </w:tcPr>
          <w:p w:rsidR="00F95E01" w:rsidRPr="00BF51C7" w:rsidRDefault="00F95E01" w:rsidP="007647CE">
            <w:pPr>
              <w:rPr>
                <w:rFonts w:cs="Arial"/>
                <w:sz w:val="24"/>
                <w:szCs w:val="24"/>
                <w:lang w:val="en-US"/>
              </w:rPr>
            </w:pPr>
            <w:r>
              <w:rPr>
                <w:rFonts w:cs="Arial"/>
                <w:sz w:val="24"/>
                <w:szCs w:val="24"/>
                <w:lang w:val="en-US"/>
              </w:rPr>
              <w:t>Groupe</w:t>
            </w:r>
          </w:p>
        </w:tc>
      </w:tr>
      <w:tr w:rsidR="009D677A" w:rsidRPr="00BF51C7" w:rsidTr="00F95E01">
        <w:tc>
          <w:tcPr>
            <w:tcW w:w="9198" w:type="dxa"/>
            <w:gridSpan w:val="3"/>
          </w:tcPr>
          <w:p w:rsidR="009D677A" w:rsidRPr="00BF51C7" w:rsidRDefault="009D677A" w:rsidP="00A34B68">
            <w:pPr>
              <w:rPr>
                <w:rFonts w:cs="Arial"/>
                <w:sz w:val="16"/>
                <w:szCs w:val="16"/>
                <w:lang w:val="en-US"/>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1300 – 1400</w:t>
            </w:r>
          </w:p>
        </w:tc>
        <w:tc>
          <w:tcPr>
            <w:tcW w:w="7020" w:type="dxa"/>
            <w:shd w:val="clear" w:color="auto" w:fill="F2F2F2" w:themeFill="background1" w:themeFillShade="F2"/>
          </w:tcPr>
          <w:p w:rsidR="009D677A" w:rsidRPr="00BF51C7" w:rsidRDefault="009D677A" w:rsidP="00A34B68">
            <w:pPr>
              <w:rPr>
                <w:rFonts w:cs="Arial"/>
                <w:b/>
                <w:sz w:val="24"/>
                <w:szCs w:val="24"/>
                <w:lang w:val="en-US"/>
              </w:rPr>
            </w:pPr>
            <w:r w:rsidRPr="00BF51C7">
              <w:rPr>
                <w:rFonts w:cs="Arial"/>
                <w:b/>
                <w:sz w:val="24"/>
                <w:szCs w:val="24"/>
                <w:lang w:val="en-US"/>
              </w:rPr>
              <w:t>Pause Dejeuner</w:t>
            </w:r>
          </w:p>
        </w:tc>
        <w:tc>
          <w:tcPr>
            <w:tcW w:w="1103" w:type="dxa"/>
            <w:shd w:val="clear" w:color="auto" w:fill="F2F2F2" w:themeFill="background1" w:themeFillShade="F2"/>
          </w:tcPr>
          <w:p w:rsidR="009D677A" w:rsidRPr="00BF51C7" w:rsidRDefault="009D677A" w:rsidP="00A34B68">
            <w:pPr>
              <w:rPr>
                <w:rFonts w:cs="Arial"/>
                <w:b/>
                <w:sz w:val="24"/>
                <w:szCs w:val="24"/>
                <w:lang w:val="en-US"/>
              </w:rPr>
            </w:pPr>
          </w:p>
        </w:tc>
      </w:tr>
      <w:tr w:rsidR="009D677A" w:rsidRPr="00BF51C7" w:rsidTr="00F95E01">
        <w:tc>
          <w:tcPr>
            <w:tcW w:w="9198" w:type="dxa"/>
            <w:gridSpan w:val="3"/>
          </w:tcPr>
          <w:p w:rsidR="009D677A" w:rsidRPr="00BF51C7" w:rsidRDefault="009D677A" w:rsidP="00A34B68">
            <w:pPr>
              <w:rPr>
                <w:rFonts w:cs="Arial"/>
                <w:b/>
                <w:sz w:val="16"/>
                <w:szCs w:val="16"/>
                <w:lang w:val="en-US"/>
              </w:rPr>
            </w:pPr>
          </w:p>
        </w:tc>
      </w:tr>
      <w:tr w:rsidR="009D677A" w:rsidRPr="00F95E01" w:rsidTr="00F95E01">
        <w:tc>
          <w:tcPr>
            <w:tcW w:w="9198" w:type="dxa"/>
            <w:gridSpan w:val="3"/>
          </w:tcPr>
          <w:p w:rsidR="009D677A" w:rsidRPr="00BF51C7" w:rsidRDefault="009D677A" w:rsidP="00A34B68">
            <w:pPr>
              <w:rPr>
                <w:rFonts w:cs="Arial"/>
                <w:b/>
                <w:i/>
                <w:sz w:val="24"/>
                <w:szCs w:val="24"/>
              </w:rPr>
            </w:pPr>
            <w:r w:rsidRPr="00BF51C7">
              <w:rPr>
                <w:rFonts w:cs="Arial"/>
                <w:b/>
                <w:i/>
                <w:sz w:val="24"/>
                <w:szCs w:val="24"/>
              </w:rPr>
              <w:t xml:space="preserve">SESSION: </w:t>
            </w:r>
            <w:r w:rsidR="00A071F8">
              <w:rPr>
                <w:rFonts w:cs="Arial"/>
                <w:b/>
                <w:i/>
                <w:color w:val="222222"/>
                <w:sz w:val="24"/>
                <w:szCs w:val="24"/>
              </w:rPr>
              <w:t>Planification les prochaines é</w:t>
            </w:r>
            <w:r w:rsidRPr="00BF51C7">
              <w:rPr>
                <w:rFonts w:cs="Arial"/>
                <w:b/>
                <w:i/>
                <w:color w:val="222222"/>
                <w:sz w:val="24"/>
                <w:szCs w:val="24"/>
              </w:rPr>
              <w:t>tapes</w:t>
            </w:r>
          </w:p>
        </w:tc>
      </w:tr>
      <w:tr w:rsidR="009D677A" w:rsidRPr="00F95E01" w:rsidTr="00F95E01">
        <w:tc>
          <w:tcPr>
            <w:tcW w:w="1075" w:type="dxa"/>
          </w:tcPr>
          <w:p w:rsidR="009D677A" w:rsidRPr="00BF51C7" w:rsidRDefault="009D677A" w:rsidP="00A34B68">
            <w:pPr>
              <w:rPr>
                <w:rFonts w:cs="Arial"/>
                <w:b/>
                <w:sz w:val="24"/>
                <w:szCs w:val="24"/>
                <w:lang w:val="en-US"/>
              </w:rPr>
            </w:pPr>
            <w:r w:rsidRPr="00BF51C7">
              <w:rPr>
                <w:rFonts w:cs="Arial"/>
                <w:b/>
                <w:sz w:val="24"/>
                <w:szCs w:val="24"/>
                <w:lang w:val="en-US"/>
              </w:rPr>
              <w:t>1400-1500</w:t>
            </w:r>
          </w:p>
        </w:tc>
        <w:tc>
          <w:tcPr>
            <w:tcW w:w="7020" w:type="dxa"/>
          </w:tcPr>
          <w:p w:rsidR="009D677A" w:rsidRPr="00796F36" w:rsidRDefault="00001062" w:rsidP="00F95E01">
            <w:pPr>
              <w:rPr>
                <w:rFonts w:cs="Arial"/>
                <w:sz w:val="24"/>
                <w:szCs w:val="24"/>
              </w:rPr>
            </w:pPr>
            <w:r w:rsidRPr="00001062">
              <w:rPr>
                <w:rFonts w:cs="Arial"/>
                <w:noProof/>
                <w:color w:val="222222"/>
                <w:sz w:val="24"/>
                <w:szCs w:val="24"/>
                <w:lang w:val="en-US"/>
              </w:rPr>
              <w:pict>
                <v:shapetype id="_x0000_t202" coordsize="21600,21600" o:spt="202" path="m,l,21600r21600,l21600,xe">
                  <v:stroke joinstyle="miter"/>
                  <v:path gradientshapeok="t" o:connecttype="rect"/>
                </v:shapetype>
                <v:shape id="Zone de texte 4" o:spid="_x0000_s1026" type="#_x0000_t202" style="position:absolute;margin-left:295.05pt;margin-top:.3pt;width:94.8pt;height:42.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" fillcolor="white [3201]" stroked="f" strokeweight=".5pt">
                  <v:textbox>
                    <w:txbxContent>
                      <w:p w:rsidR="00F95E01" w:rsidRDefault="00F95E01">
                        <w:r w:rsidRPr="00F95E01">
                          <w:rPr>
                            <w:lang w:val="fr-FR"/>
                          </w:rPr>
                          <w:t>Plénière</w:t>
                        </w:r>
                      </w:p>
                    </w:txbxContent>
                  </v:textbox>
                </v:shape>
              </w:pict>
            </w:r>
            <w:r w:rsidRPr="00001062">
              <w:rPr>
                <w:rFonts w:cs="Arial"/>
                <w:noProof/>
                <w:color w:val="222222"/>
                <w:sz w:val="24"/>
                <w:szCs w:val="24"/>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7" type="#_x0000_t88" style="position:absolute;margin-left:286.65pt;margin-top:5.1pt;width:6.4pt;height:35.2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" adj="327" strokecolor="#4579b8 [3044]"/>
              </w:pict>
            </w:r>
            <w:r w:rsidR="009D677A" w:rsidRPr="00BF51C7">
              <w:rPr>
                <w:rFonts w:cs="Arial"/>
                <w:color w:val="222222"/>
                <w:sz w:val="24"/>
                <w:szCs w:val="24"/>
              </w:rPr>
              <w:t>Exam</w:t>
            </w:r>
            <w:r w:rsidR="00F95E01">
              <w:rPr>
                <w:rFonts w:cs="Arial"/>
                <w:color w:val="222222"/>
                <w:sz w:val="24"/>
                <w:szCs w:val="24"/>
              </w:rPr>
              <w:t>en</w:t>
            </w:r>
            <w:r w:rsidR="00A071F8">
              <w:rPr>
                <w:rFonts w:cs="Arial"/>
                <w:color w:val="222222"/>
                <w:sz w:val="24"/>
                <w:szCs w:val="24"/>
              </w:rPr>
              <w:t xml:space="preserve">du </w:t>
            </w:r>
            <w:r w:rsidR="009D677A" w:rsidRPr="00BF51C7">
              <w:rPr>
                <w:rFonts w:cs="Arial"/>
                <w:color w:val="222222"/>
                <w:sz w:val="24"/>
                <w:szCs w:val="24"/>
              </w:rPr>
              <w:t xml:space="preserve">plan et </w:t>
            </w:r>
            <w:r w:rsidR="00A071F8">
              <w:rPr>
                <w:rFonts w:cs="Arial"/>
                <w:color w:val="222222"/>
                <w:sz w:val="24"/>
                <w:szCs w:val="24"/>
              </w:rPr>
              <w:t xml:space="preserve">du </w:t>
            </w:r>
            <w:r w:rsidR="009D677A" w:rsidRPr="00BF51C7">
              <w:rPr>
                <w:rFonts w:cs="Arial"/>
                <w:color w:val="222222"/>
                <w:sz w:val="24"/>
                <w:szCs w:val="24"/>
              </w:rPr>
              <w:t>calendrier pour la mise en œuvre de l'évaluation interne</w:t>
            </w:r>
            <w:r w:rsidR="009D677A" w:rsidRPr="00BF51C7">
              <w:rPr>
                <w:rFonts w:cs="Arial"/>
                <w:color w:val="222222"/>
                <w:sz w:val="24"/>
                <w:szCs w:val="24"/>
              </w:rPr>
              <w:br/>
              <w:t>Discussion</w:t>
            </w:r>
          </w:p>
        </w:tc>
        <w:tc>
          <w:tcPr>
            <w:tcW w:w="1103" w:type="dxa"/>
          </w:tcPr>
          <w:p w:rsidR="009D677A" w:rsidRPr="00796F36" w:rsidRDefault="009D677A" w:rsidP="00A34B68">
            <w:pPr>
              <w:rPr>
                <w:rFonts w:cs="Arial"/>
                <w:b/>
                <w:sz w:val="24"/>
                <w:szCs w:val="24"/>
              </w:rPr>
            </w:pPr>
          </w:p>
        </w:tc>
      </w:tr>
      <w:tr w:rsidR="009D677A" w:rsidRPr="00F95E01" w:rsidTr="00F95E01">
        <w:tc>
          <w:tcPr>
            <w:tcW w:w="1075" w:type="dxa"/>
          </w:tcPr>
          <w:p w:rsidR="009D677A" w:rsidRPr="00BF51C7" w:rsidRDefault="009D677A" w:rsidP="00A34B68">
            <w:pPr>
              <w:rPr>
                <w:rFonts w:cs="Arial"/>
                <w:b/>
                <w:sz w:val="24"/>
                <w:szCs w:val="24"/>
                <w:lang w:val="en-US"/>
              </w:rPr>
            </w:pPr>
            <w:r w:rsidRPr="00BF51C7">
              <w:rPr>
                <w:rFonts w:cs="Arial"/>
                <w:b/>
                <w:sz w:val="24"/>
                <w:szCs w:val="24"/>
                <w:lang w:val="en-US"/>
              </w:rPr>
              <w:t>1400 – 1500</w:t>
            </w:r>
          </w:p>
        </w:tc>
        <w:tc>
          <w:tcPr>
            <w:tcW w:w="7020" w:type="dxa"/>
          </w:tcPr>
          <w:p w:rsidR="009D677A" w:rsidRPr="00BF51C7" w:rsidRDefault="00A071F8" w:rsidP="00A071F8">
            <w:pPr>
              <w:rPr>
                <w:rFonts w:cs="Arial"/>
                <w:sz w:val="24"/>
                <w:szCs w:val="24"/>
              </w:rPr>
            </w:pPr>
            <w:r>
              <w:rPr>
                <w:rFonts w:cs="Arial"/>
                <w:color w:val="222222"/>
                <w:sz w:val="24"/>
                <w:szCs w:val="24"/>
              </w:rPr>
              <w:t xml:space="preserve">Travaux de </w:t>
            </w:r>
            <w:r w:rsidR="009D677A" w:rsidRPr="00BF51C7">
              <w:rPr>
                <w:rFonts w:cs="Arial"/>
                <w:color w:val="222222"/>
                <w:sz w:val="24"/>
                <w:szCs w:val="24"/>
              </w:rPr>
              <w:t>groupes pour discuter et planifier la mise en œuvre de l'évaluation interne</w:t>
            </w:r>
          </w:p>
        </w:tc>
        <w:tc>
          <w:tcPr>
            <w:tcW w:w="1103" w:type="dxa"/>
          </w:tcPr>
          <w:p w:rsidR="009D677A" w:rsidRPr="00BF51C7" w:rsidRDefault="009D677A" w:rsidP="00A34B68">
            <w:pPr>
              <w:rPr>
                <w:rFonts w:cs="Arial"/>
                <w:b/>
                <w:sz w:val="24"/>
                <w:szCs w:val="24"/>
                <w:lang w:val="fr-ML"/>
              </w:rPr>
            </w:pPr>
          </w:p>
        </w:tc>
        <w:bookmarkStart w:id="0" w:name="_GoBack"/>
        <w:bookmarkEnd w:id="0"/>
      </w:tr>
      <w:tr w:rsidR="009D677A" w:rsidRPr="00F95E01" w:rsidTr="00F95E01">
        <w:tc>
          <w:tcPr>
            <w:tcW w:w="9198" w:type="dxa"/>
            <w:gridSpan w:val="3"/>
          </w:tcPr>
          <w:p w:rsidR="009D677A" w:rsidRPr="00BF51C7" w:rsidRDefault="009D677A" w:rsidP="00A34B68">
            <w:pPr>
              <w:rPr>
                <w:rFonts w:cs="Arial"/>
                <w:b/>
                <w:i/>
                <w:sz w:val="16"/>
                <w:szCs w:val="16"/>
              </w:rPr>
            </w:pPr>
          </w:p>
        </w:tc>
      </w:tr>
      <w:tr w:rsidR="009D677A" w:rsidRPr="00BF51C7" w:rsidTr="00F95E01">
        <w:tc>
          <w:tcPr>
            <w:tcW w:w="9198" w:type="dxa"/>
            <w:gridSpan w:val="3"/>
          </w:tcPr>
          <w:p w:rsidR="009D677A" w:rsidRPr="00BF51C7" w:rsidRDefault="009D677A" w:rsidP="00A34B68">
            <w:pPr>
              <w:rPr>
                <w:rFonts w:cs="Arial"/>
                <w:b/>
                <w:i/>
                <w:sz w:val="24"/>
                <w:szCs w:val="24"/>
                <w:lang w:val="fr-ML"/>
              </w:rPr>
            </w:pPr>
            <w:r w:rsidRPr="00BF51C7">
              <w:rPr>
                <w:rFonts w:cs="Arial"/>
                <w:b/>
                <w:i/>
                <w:sz w:val="24"/>
                <w:szCs w:val="24"/>
                <w:lang w:val="fr-ML"/>
              </w:rPr>
              <w:t>Séance plénière</w:t>
            </w:r>
          </w:p>
        </w:tc>
      </w:tr>
      <w:tr w:rsidR="009D677A" w:rsidRPr="00F95E01" w:rsidTr="00F95E01">
        <w:tc>
          <w:tcPr>
            <w:tcW w:w="1075" w:type="dxa"/>
          </w:tcPr>
          <w:p w:rsidR="009D677A" w:rsidRPr="00BF51C7" w:rsidRDefault="009D677A" w:rsidP="00A34B68">
            <w:pPr>
              <w:rPr>
                <w:rFonts w:cs="Arial"/>
                <w:b/>
                <w:sz w:val="24"/>
                <w:szCs w:val="24"/>
                <w:lang w:val="fr-ML"/>
              </w:rPr>
            </w:pPr>
            <w:r w:rsidRPr="00BF51C7">
              <w:rPr>
                <w:rFonts w:cs="Arial"/>
                <w:b/>
                <w:sz w:val="24"/>
                <w:szCs w:val="24"/>
                <w:lang w:val="fr-ML"/>
              </w:rPr>
              <w:t>1</w:t>
            </w:r>
            <w:r w:rsidRPr="00BF51C7">
              <w:rPr>
                <w:rFonts w:cs="Arial"/>
                <w:b/>
                <w:sz w:val="24"/>
                <w:szCs w:val="24"/>
              </w:rPr>
              <w:t>6</w:t>
            </w:r>
            <w:r w:rsidRPr="00BF51C7">
              <w:rPr>
                <w:rFonts w:cs="Arial"/>
                <w:b/>
                <w:sz w:val="24"/>
                <w:szCs w:val="24"/>
                <w:lang w:val="fr-ML"/>
              </w:rPr>
              <w:t>00-1</w:t>
            </w:r>
            <w:r w:rsidRPr="00BF51C7">
              <w:rPr>
                <w:rFonts w:cs="Arial"/>
                <w:b/>
                <w:sz w:val="24"/>
                <w:szCs w:val="24"/>
              </w:rPr>
              <w:t>7</w:t>
            </w:r>
            <w:r w:rsidRPr="00BF51C7">
              <w:rPr>
                <w:rFonts w:cs="Arial"/>
                <w:b/>
                <w:sz w:val="24"/>
                <w:szCs w:val="24"/>
                <w:lang w:val="fr-ML"/>
              </w:rPr>
              <w:t>00</w:t>
            </w:r>
          </w:p>
        </w:tc>
        <w:tc>
          <w:tcPr>
            <w:tcW w:w="7020" w:type="dxa"/>
          </w:tcPr>
          <w:p w:rsidR="009D677A" w:rsidRPr="00796F36" w:rsidRDefault="009D677A" w:rsidP="00A34B68">
            <w:pPr>
              <w:rPr>
                <w:rFonts w:cs="Arial"/>
                <w:sz w:val="24"/>
                <w:szCs w:val="24"/>
              </w:rPr>
            </w:pPr>
            <w:r w:rsidRPr="00BF51C7">
              <w:rPr>
                <w:rStyle w:val="shorttext"/>
                <w:rFonts w:cs="Arial"/>
                <w:color w:val="222222"/>
                <w:sz w:val="24"/>
                <w:szCs w:val="24"/>
              </w:rPr>
              <w:t>Rapports des groupes</w:t>
            </w:r>
            <w:r w:rsidRPr="00BF51C7">
              <w:rPr>
                <w:rFonts w:cs="Arial"/>
                <w:color w:val="222222"/>
                <w:sz w:val="24"/>
                <w:szCs w:val="24"/>
              </w:rPr>
              <w:br/>
            </w:r>
            <w:r w:rsidRPr="00BF51C7">
              <w:rPr>
                <w:rStyle w:val="shorttext"/>
                <w:rFonts w:cs="Arial"/>
                <w:color w:val="222222"/>
                <w:sz w:val="24"/>
                <w:szCs w:val="24"/>
              </w:rPr>
              <w:t>Discussion</w:t>
            </w:r>
            <w:r w:rsidRPr="00BF51C7">
              <w:rPr>
                <w:rFonts w:cs="Arial"/>
                <w:color w:val="222222"/>
                <w:sz w:val="24"/>
                <w:szCs w:val="24"/>
              </w:rPr>
              <w:br/>
            </w:r>
            <w:r w:rsidRPr="00BF51C7">
              <w:rPr>
                <w:rStyle w:val="shorttext"/>
                <w:rFonts w:cs="Arial"/>
                <w:color w:val="222222"/>
                <w:sz w:val="24"/>
                <w:szCs w:val="24"/>
              </w:rPr>
              <w:t>Prochaines étapes</w:t>
            </w:r>
          </w:p>
        </w:tc>
        <w:tc>
          <w:tcPr>
            <w:tcW w:w="1103" w:type="dxa"/>
          </w:tcPr>
          <w:p w:rsidR="009D677A" w:rsidRPr="00BF51C7" w:rsidRDefault="009D677A" w:rsidP="00A34B68">
            <w:pPr>
              <w:rPr>
                <w:rFonts w:cs="Arial"/>
                <w:sz w:val="24"/>
                <w:szCs w:val="24"/>
                <w:lang w:val="fr-ML"/>
              </w:rPr>
            </w:pPr>
          </w:p>
        </w:tc>
      </w:tr>
      <w:tr w:rsidR="009D677A" w:rsidRPr="00BF51C7" w:rsidTr="00F95E01">
        <w:tc>
          <w:tcPr>
            <w:tcW w:w="1075" w:type="dxa"/>
            <w:shd w:val="clear" w:color="auto" w:fill="F2F2F2" w:themeFill="background1" w:themeFillShade="F2"/>
          </w:tcPr>
          <w:p w:rsidR="009D677A" w:rsidRPr="00BF51C7" w:rsidRDefault="009D677A" w:rsidP="00A34B68">
            <w:pPr>
              <w:rPr>
                <w:rFonts w:cs="Arial"/>
                <w:b/>
                <w:sz w:val="24"/>
                <w:szCs w:val="24"/>
                <w:lang w:val="fr-ML"/>
              </w:rPr>
            </w:pPr>
            <w:r w:rsidRPr="00BF51C7">
              <w:rPr>
                <w:rFonts w:cs="Arial"/>
                <w:b/>
                <w:sz w:val="24"/>
                <w:szCs w:val="24"/>
                <w:lang w:val="fr-ML"/>
              </w:rPr>
              <w:t>1</w:t>
            </w:r>
            <w:r w:rsidRPr="00BF51C7">
              <w:rPr>
                <w:rFonts w:cs="Arial"/>
                <w:b/>
                <w:sz w:val="24"/>
                <w:szCs w:val="24"/>
              </w:rPr>
              <w:t>7</w:t>
            </w:r>
            <w:r w:rsidRPr="00BF51C7">
              <w:rPr>
                <w:rFonts w:cs="Arial"/>
                <w:b/>
                <w:sz w:val="24"/>
                <w:szCs w:val="24"/>
                <w:lang w:val="fr-ML"/>
              </w:rPr>
              <w:t>00</w:t>
            </w:r>
          </w:p>
        </w:tc>
        <w:tc>
          <w:tcPr>
            <w:tcW w:w="7020" w:type="dxa"/>
            <w:shd w:val="clear" w:color="auto" w:fill="F2F2F2" w:themeFill="background1" w:themeFillShade="F2"/>
          </w:tcPr>
          <w:p w:rsidR="009D677A" w:rsidRPr="00BF51C7" w:rsidRDefault="00A071F8" w:rsidP="00A34B68">
            <w:pPr>
              <w:rPr>
                <w:rFonts w:cs="Arial"/>
                <w:b/>
                <w:sz w:val="24"/>
                <w:szCs w:val="24"/>
                <w:lang w:val="en-US"/>
              </w:rPr>
            </w:pPr>
            <w:r>
              <w:rPr>
                <w:rFonts w:cs="Arial"/>
                <w:b/>
                <w:sz w:val="24"/>
                <w:szCs w:val="24"/>
                <w:lang w:val="en-US"/>
              </w:rPr>
              <w:t xml:space="preserve">Cloture </w:t>
            </w:r>
          </w:p>
        </w:tc>
        <w:tc>
          <w:tcPr>
            <w:tcW w:w="1103" w:type="dxa"/>
            <w:shd w:val="clear" w:color="auto" w:fill="F2F2F2" w:themeFill="background1" w:themeFillShade="F2"/>
          </w:tcPr>
          <w:p w:rsidR="009D677A" w:rsidRPr="00BF51C7" w:rsidRDefault="009D677A" w:rsidP="00A34B68">
            <w:pPr>
              <w:rPr>
                <w:rFonts w:cs="Arial"/>
                <w:sz w:val="24"/>
                <w:szCs w:val="24"/>
                <w:lang w:val="fr-ML"/>
              </w:rPr>
            </w:pPr>
          </w:p>
        </w:tc>
      </w:tr>
    </w:tbl>
    <w:p w:rsidR="009D677A" w:rsidRPr="00796F36" w:rsidRDefault="009D677A" w:rsidP="009D677A">
      <w:pPr>
        <w:spacing w:after="0"/>
        <w:rPr>
          <w:b/>
          <w:sz w:val="24"/>
          <w:szCs w:val="24"/>
          <w:lang w:val="fr-FR"/>
        </w:rPr>
      </w:pPr>
      <w:r w:rsidRPr="00BF51C7">
        <w:rPr>
          <w:rFonts w:cs="Arial"/>
          <w:b/>
          <w:color w:val="222222"/>
          <w:sz w:val="24"/>
          <w:szCs w:val="24"/>
          <w:lang w:val="fr-FR"/>
        </w:rPr>
        <w:t>Groupes de travail pour discuter et planifier la mise en œuvre de l'évaluation interne (propos</w:t>
      </w:r>
      <w:r w:rsidRPr="00796F36">
        <w:rPr>
          <w:b/>
          <w:sz w:val="24"/>
          <w:szCs w:val="24"/>
          <w:lang w:val="fr-FR"/>
        </w:rPr>
        <w:t>é</w:t>
      </w:r>
      <w:r w:rsidRPr="00BF51C7">
        <w:rPr>
          <w:rFonts w:cs="Arial"/>
          <w:b/>
          <w:color w:val="222222"/>
          <w:sz w:val="24"/>
          <w:szCs w:val="24"/>
          <w:lang w:val="fr-FR"/>
        </w:rPr>
        <w:t>)</w:t>
      </w:r>
    </w:p>
    <w:p w:rsidR="009D677A" w:rsidRPr="00796F36" w:rsidRDefault="009D677A" w:rsidP="009D677A">
      <w:pPr>
        <w:rPr>
          <w:rFonts w:cs="Arial"/>
          <w:sz w:val="24"/>
          <w:szCs w:val="24"/>
          <w:lang w:val="fr-FR"/>
        </w:rPr>
      </w:pPr>
    </w:p>
    <w:tbl>
      <w:tblPr>
        <w:tblStyle w:val="Grilledutableau"/>
        <w:tblW w:w="9606" w:type="dxa"/>
        <w:tblLook w:val="04A0"/>
      </w:tblPr>
      <w:tblGrid>
        <w:gridCol w:w="2943"/>
        <w:gridCol w:w="1790"/>
        <w:gridCol w:w="4873"/>
      </w:tblGrid>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rPr>
                <w:rFonts w:cs="Arial"/>
                <w:sz w:val="24"/>
                <w:szCs w:val="24"/>
              </w:rPr>
            </w:pPr>
            <w:r w:rsidRPr="00BF51C7">
              <w:rPr>
                <w:rFonts w:cs="Arial"/>
                <w:sz w:val="24"/>
                <w:szCs w:val="24"/>
              </w:rPr>
              <w:t xml:space="preserve">Section </w:t>
            </w:r>
          </w:p>
        </w:tc>
        <w:tc>
          <w:tcPr>
            <w:tcW w:w="4873" w:type="dxa"/>
            <w:shd w:val="clear" w:color="auto" w:fill="F2F2F2" w:themeFill="background1" w:themeFillShade="F2"/>
          </w:tcPr>
          <w:p w:rsidR="009D677A" w:rsidRPr="00BF51C7" w:rsidRDefault="009D677A" w:rsidP="00A34B68">
            <w:pPr>
              <w:rPr>
                <w:rFonts w:cs="Arial"/>
                <w:sz w:val="24"/>
                <w:szCs w:val="24"/>
              </w:rPr>
            </w:pPr>
            <w:r w:rsidRPr="00BF51C7">
              <w:rPr>
                <w:rFonts w:cs="Arial"/>
                <w:sz w:val="24"/>
                <w:szCs w:val="24"/>
              </w:rPr>
              <w:t xml:space="preserve">Composante </w:t>
            </w:r>
          </w:p>
        </w:tc>
      </w:tr>
      <w:tr w:rsidR="009D677A" w:rsidRPr="00F95E01"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Groupe  1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r w:rsidRPr="00BF51C7">
              <w:rPr>
                <w:rFonts w:cs="Arial"/>
                <w:sz w:val="24"/>
                <w:szCs w:val="24"/>
              </w:rPr>
              <w:t>Prévenir</w:t>
            </w:r>
          </w:p>
        </w:tc>
        <w:tc>
          <w:tcPr>
            <w:tcW w:w="4873" w:type="dxa"/>
          </w:tcPr>
          <w:p w:rsidR="009D677A" w:rsidRPr="00BF51C7" w:rsidRDefault="009D677A" w:rsidP="00A34B68">
            <w:pPr>
              <w:rPr>
                <w:sz w:val="24"/>
                <w:szCs w:val="24"/>
              </w:rPr>
            </w:pPr>
            <w:r w:rsidRPr="00BF51C7">
              <w:rPr>
                <w:sz w:val="24"/>
                <w:szCs w:val="24"/>
              </w:rPr>
              <w:t>Législation nationale, Politique et Financement</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Coordination du RSI, Communication et plaidoyer</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Résistance antimicrobienne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Zoonose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Sécurité alimentaire</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Sûreté et la sécurité biologique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rFonts w:cs="Arial"/>
                <w:sz w:val="24"/>
                <w:szCs w:val="24"/>
              </w:rPr>
            </w:pPr>
            <w:r w:rsidRPr="00BF51C7">
              <w:rPr>
                <w:sz w:val="24"/>
                <w:szCs w:val="24"/>
              </w:rPr>
              <w:t>Vaccination</w:t>
            </w:r>
          </w:p>
        </w:tc>
      </w:tr>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jc w:val="center"/>
              <w:rPr>
                <w:rFonts w:cs="Arial"/>
                <w:sz w:val="24"/>
                <w:szCs w:val="24"/>
              </w:rPr>
            </w:pPr>
          </w:p>
        </w:tc>
        <w:tc>
          <w:tcPr>
            <w:tcW w:w="4873" w:type="dxa"/>
            <w:shd w:val="clear" w:color="auto" w:fill="F2F2F2" w:themeFill="background1" w:themeFillShade="F2"/>
          </w:tcPr>
          <w:p w:rsidR="009D677A" w:rsidRPr="00BF51C7" w:rsidRDefault="009D677A" w:rsidP="00A34B68">
            <w:pPr>
              <w:rPr>
                <w:sz w:val="24"/>
                <w:szCs w:val="24"/>
              </w:rPr>
            </w:pPr>
          </w:p>
        </w:tc>
      </w:tr>
      <w:tr w:rsidR="009D677A" w:rsidRPr="00BF51C7"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 xml:space="preserve">Groupe 2 :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r w:rsidRPr="00BF51C7">
              <w:rPr>
                <w:rFonts w:cs="Arial"/>
                <w:sz w:val="24"/>
                <w:szCs w:val="24"/>
              </w:rPr>
              <w:t>Détecter, autres risque et points d’entrée</w:t>
            </w:r>
          </w:p>
        </w:tc>
        <w:tc>
          <w:tcPr>
            <w:tcW w:w="4873" w:type="dxa"/>
          </w:tcPr>
          <w:p w:rsidR="009D677A" w:rsidRPr="00BF51C7" w:rsidRDefault="009D677A" w:rsidP="00A34B68">
            <w:pPr>
              <w:rPr>
                <w:sz w:val="24"/>
                <w:szCs w:val="24"/>
              </w:rPr>
            </w:pPr>
            <w:r w:rsidRPr="00BF51C7">
              <w:rPr>
                <w:sz w:val="24"/>
                <w:szCs w:val="24"/>
              </w:rPr>
              <w:t>Système de laboratoire national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rPr>
                <w:sz w:val="24"/>
                <w:szCs w:val="24"/>
                <w:lang w:val="en-US"/>
              </w:rPr>
            </w:pPr>
            <w:r w:rsidRPr="00BF51C7">
              <w:rPr>
                <w:sz w:val="24"/>
                <w:szCs w:val="24"/>
              </w:rPr>
              <w:t>Surveillance en temps réel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Notification</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Développement des ressources humaines</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Points d’entrée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Evénements d’origine chimique</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jc w:val="cente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Urgences dues aux radiations</w:t>
            </w:r>
          </w:p>
        </w:tc>
      </w:tr>
      <w:tr w:rsidR="009D677A" w:rsidRPr="00BF51C7" w:rsidTr="00A34B68">
        <w:tc>
          <w:tcPr>
            <w:tcW w:w="2943" w:type="dxa"/>
            <w:shd w:val="clear" w:color="auto" w:fill="F2F2F2" w:themeFill="background1" w:themeFillShade="F2"/>
          </w:tcPr>
          <w:p w:rsidR="009D677A" w:rsidRPr="00BF51C7" w:rsidRDefault="009D677A" w:rsidP="00A34B68">
            <w:pPr>
              <w:rPr>
                <w:rFonts w:cs="Arial"/>
                <w:sz w:val="24"/>
                <w:szCs w:val="24"/>
              </w:rPr>
            </w:pPr>
          </w:p>
        </w:tc>
        <w:tc>
          <w:tcPr>
            <w:tcW w:w="1790" w:type="dxa"/>
            <w:shd w:val="clear" w:color="auto" w:fill="F2F2F2" w:themeFill="background1" w:themeFillShade="F2"/>
          </w:tcPr>
          <w:p w:rsidR="009D677A" w:rsidRPr="00BF51C7" w:rsidRDefault="009D677A" w:rsidP="00A34B68">
            <w:pPr>
              <w:jc w:val="center"/>
              <w:rPr>
                <w:rFonts w:cs="Arial"/>
                <w:sz w:val="24"/>
                <w:szCs w:val="24"/>
              </w:rPr>
            </w:pPr>
          </w:p>
        </w:tc>
        <w:tc>
          <w:tcPr>
            <w:tcW w:w="4873" w:type="dxa"/>
            <w:shd w:val="clear" w:color="auto" w:fill="F2F2F2" w:themeFill="background1" w:themeFillShade="F2"/>
          </w:tcPr>
          <w:p w:rsidR="009D677A" w:rsidRPr="00BF51C7" w:rsidRDefault="009D677A" w:rsidP="00A34B68">
            <w:pPr>
              <w:rPr>
                <w:rFonts w:cs="Arial"/>
                <w:sz w:val="24"/>
                <w:szCs w:val="24"/>
              </w:rPr>
            </w:pPr>
          </w:p>
        </w:tc>
      </w:tr>
      <w:tr w:rsidR="009D677A" w:rsidRPr="00BF51C7" w:rsidTr="00A34B68">
        <w:tc>
          <w:tcPr>
            <w:tcW w:w="2943" w:type="dxa"/>
            <w:vMerge w:val="restart"/>
          </w:tcPr>
          <w:p w:rsidR="009D677A" w:rsidRPr="00BF51C7" w:rsidRDefault="009D677A" w:rsidP="00A34B68">
            <w:pPr>
              <w:rPr>
                <w:rFonts w:cs="Arial"/>
                <w:sz w:val="24"/>
                <w:szCs w:val="24"/>
              </w:rPr>
            </w:pPr>
            <w:r w:rsidRPr="00BF51C7">
              <w:rPr>
                <w:rFonts w:cs="Arial"/>
                <w:sz w:val="24"/>
                <w:szCs w:val="24"/>
              </w:rPr>
              <w:t>Groupe 3 :</w:t>
            </w:r>
          </w:p>
          <w:p w:rsidR="009D677A" w:rsidRPr="00BF51C7" w:rsidRDefault="009D677A" w:rsidP="00FA59A1">
            <w:pPr>
              <w:pStyle w:val="Paragraphedeliste"/>
              <w:rPr>
                <w:rFonts w:cs="Arial"/>
                <w:sz w:val="24"/>
                <w:szCs w:val="24"/>
              </w:rPr>
            </w:pPr>
          </w:p>
        </w:tc>
        <w:tc>
          <w:tcPr>
            <w:tcW w:w="1790" w:type="dxa"/>
            <w:vMerge w:val="restart"/>
          </w:tcPr>
          <w:p w:rsidR="009D677A" w:rsidRPr="00BF51C7" w:rsidRDefault="009D677A" w:rsidP="00A34B68">
            <w:pPr>
              <w:jc w:val="center"/>
              <w:rPr>
                <w:rFonts w:cs="Arial"/>
                <w:sz w:val="24"/>
                <w:szCs w:val="24"/>
              </w:rPr>
            </w:pPr>
          </w:p>
          <w:p w:rsidR="009D677A" w:rsidRPr="00BF51C7" w:rsidRDefault="009D677A" w:rsidP="00A34B68">
            <w:pPr>
              <w:jc w:val="center"/>
              <w:rPr>
                <w:rFonts w:cs="Arial"/>
                <w:sz w:val="24"/>
                <w:szCs w:val="24"/>
              </w:rPr>
            </w:pPr>
          </w:p>
          <w:p w:rsidR="009D677A" w:rsidRPr="00BF51C7" w:rsidRDefault="008D2462" w:rsidP="00A071F8">
            <w:pPr>
              <w:jc w:val="center"/>
              <w:rPr>
                <w:rFonts w:cs="Arial"/>
                <w:sz w:val="24"/>
                <w:szCs w:val="24"/>
              </w:rPr>
            </w:pPr>
            <w:r>
              <w:rPr>
                <w:rFonts w:cs="Arial"/>
                <w:sz w:val="24"/>
                <w:szCs w:val="24"/>
              </w:rPr>
              <w:t xml:space="preserve">Organiser la </w:t>
            </w:r>
            <w:r w:rsidR="009D677A" w:rsidRPr="00BF51C7">
              <w:rPr>
                <w:rFonts w:cs="Arial"/>
                <w:sz w:val="24"/>
                <w:szCs w:val="24"/>
              </w:rPr>
              <w:t>Riposte</w:t>
            </w:r>
          </w:p>
        </w:tc>
        <w:tc>
          <w:tcPr>
            <w:tcW w:w="4873" w:type="dxa"/>
          </w:tcPr>
          <w:p w:rsidR="009D677A" w:rsidRPr="00BF51C7" w:rsidRDefault="009D677A" w:rsidP="00A34B68">
            <w:pPr>
              <w:jc w:val="both"/>
              <w:rPr>
                <w:sz w:val="24"/>
                <w:szCs w:val="24"/>
                <w:lang w:val="en-US"/>
              </w:rPr>
            </w:pPr>
            <w:r w:rsidRPr="00BF51C7">
              <w:rPr>
                <w:sz w:val="24"/>
                <w:szCs w:val="24"/>
              </w:rPr>
              <w:t>Préparation</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lang w:val="en-US"/>
              </w:rPr>
            </w:pPr>
            <w:r w:rsidRPr="00BF51C7">
              <w:rPr>
                <w:sz w:val="24"/>
                <w:szCs w:val="24"/>
              </w:rPr>
              <w:t>Interventions d’urgence</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Lien entre la santé publique et les autorités chargées de la sécurité</w:t>
            </w:r>
          </w:p>
        </w:tc>
      </w:tr>
      <w:tr w:rsidR="009D677A" w:rsidRPr="00F95E01"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Moyens médicaux et déploiement du personnel</w:t>
            </w:r>
          </w:p>
        </w:tc>
      </w:tr>
      <w:tr w:rsidR="009D677A" w:rsidRPr="00BF51C7" w:rsidTr="00A34B68">
        <w:tc>
          <w:tcPr>
            <w:tcW w:w="2943" w:type="dxa"/>
            <w:vMerge/>
          </w:tcPr>
          <w:p w:rsidR="009D677A" w:rsidRPr="00BF51C7" w:rsidRDefault="009D677A" w:rsidP="00A34B68">
            <w:pPr>
              <w:rPr>
                <w:rFonts w:cs="Arial"/>
                <w:sz w:val="24"/>
                <w:szCs w:val="24"/>
              </w:rPr>
            </w:pPr>
          </w:p>
        </w:tc>
        <w:tc>
          <w:tcPr>
            <w:tcW w:w="1790" w:type="dxa"/>
            <w:vMerge/>
          </w:tcPr>
          <w:p w:rsidR="009D677A" w:rsidRPr="00BF51C7" w:rsidRDefault="009D677A" w:rsidP="00A34B68">
            <w:pPr>
              <w:rPr>
                <w:rFonts w:cs="Arial"/>
                <w:sz w:val="24"/>
                <w:szCs w:val="24"/>
              </w:rPr>
            </w:pPr>
          </w:p>
        </w:tc>
        <w:tc>
          <w:tcPr>
            <w:tcW w:w="4873" w:type="dxa"/>
          </w:tcPr>
          <w:p w:rsidR="009D677A" w:rsidRPr="00BF51C7" w:rsidRDefault="009D677A" w:rsidP="00A34B68">
            <w:pPr>
              <w:jc w:val="both"/>
              <w:rPr>
                <w:sz w:val="24"/>
                <w:szCs w:val="24"/>
              </w:rPr>
            </w:pPr>
            <w:r w:rsidRPr="00BF51C7">
              <w:rPr>
                <w:sz w:val="24"/>
                <w:szCs w:val="24"/>
              </w:rPr>
              <w:t>Communication sur les risques</w:t>
            </w:r>
          </w:p>
        </w:tc>
      </w:tr>
    </w:tbl>
    <w:p w:rsidR="00BF51C7" w:rsidRPr="00BF51C7" w:rsidRDefault="00BF51C7" w:rsidP="00BF51C7">
      <w:pPr>
        <w:tabs>
          <w:tab w:val="left" w:pos="720"/>
        </w:tabs>
        <w:spacing w:after="0"/>
        <w:rPr>
          <w:sz w:val="24"/>
          <w:szCs w:val="24"/>
        </w:rPr>
      </w:pPr>
    </w:p>
    <w:sectPr w:rsidR="00BF51C7" w:rsidRPr="00BF51C7"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202" w:rsidRDefault="00346202" w:rsidP="008B5D54">
      <w:pPr>
        <w:spacing w:after="0" w:line="240" w:lineRule="auto"/>
      </w:pPr>
      <w:r>
        <w:separator/>
      </w:r>
    </w:p>
  </w:endnote>
  <w:endnote w:type="continuationSeparator" w:id="1">
    <w:p w:rsidR="00346202" w:rsidRDefault="00346202" w:rsidP="008B5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202" w:rsidRDefault="00346202" w:rsidP="008B5D54">
      <w:pPr>
        <w:spacing w:after="0" w:line="240" w:lineRule="auto"/>
      </w:pPr>
      <w:r>
        <w:separator/>
      </w:r>
    </w:p>
  </w:footnote>
  <w:footnote w:type="continuationSeparator" w:id="1">
    <w:p w:rsidR="00346202" w:rsidRDefault="00346202" w:rsidP="008B5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54" w:rsidRDefault="008B5D5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1D7C"/>
    <w:multiLevelType w:val="hybridMultilevel"/>
    <w:tmpl w:val="0EC86F06"/>
    <w:lvl w:ilvl="0" w:tplc="EC6219A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3F500C"/>
    <w:multiLevelType w:val="hybridMultilevel"/>
    <w:tmpl w:val="230CD1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F041ACF"/>
    <w:multiLevelType w:val="hybridMultilevel"/>
    <w:tmpl w:val="6B90F3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FC9208C"/>
    <w:multiLevelType w:val="hybridMultilevel"/>
    <w:tmpl w:val="A4B8D2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FD02CD8"/>
    <w:multiLevelType w:val="hybridMultilevel"/>
    <w:tmpl w:val="0D26D8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EFA6D62"/>
    <w:multiLevelType w:val="hybridMultilevel"/>
    <w:tmpl w:val="4D2853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5792CD9"/>
    <w:multiLevelType w:val="hybridMultilevel"/>
    <w:tmpl w:val="7EB8EA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826DF8"/>
    <w:multiLevelType w:val="hybridMultilevel"/>
    <w:tmpl w:val="068EE59E"/>
    <w:lvl w:ilvl="0" w:tplc="1AE2D3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B11920"/>
    <w:multiLevelType w:val="hybridMultilevel"/>
    <w:tmpl w:val="26866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7B53A6B"/>
    <w:multiLevelType w:val="hybridMultilevel"/>
    <w:tmpl w:val="C73A7EFA"/>
    <w:lvl w:ilvl="0" w:tplc="488EC9A6">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26EB7"/>
    <w:multiLevelType w:val="hybridMultilevel"/>
    <w:tmpl w:val="68923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4379F8"/>
    <w:multiLevelType w:val="hybridMultilevel"/>
    <w:tmpl w:val="E55821A6"/>
    <w:lvl w:ilvl="0" w:tplc="C0BA3FB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11"/>
  </w:num>
  <w:num w:numId="6">
    <w:abstractNumId w:val="6"/>
  </w:num>
  <w:num w:numId="7">
    <w:abstractNumId w:val="1"/>
  </w:num>
  <w:num w:numId="8">
    <w:abstractNumId w:val="4"/>
  </w:num>
  <w:num w:numId="9">
    <w:abstractNumId w:val="2"/>
  </w:num>
  <w:num w:numId="10">
    <w:abstractNumId w:val="8"/>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oNotDisplayPageBoundaries/>
  <w:defaultTabStop w:val="720"/>
  <w:hyphenationZone w:val="425"/>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A55E94"/>
    <w:rsid w:val="00001062"/>
    <w:rsid w:val="001F1B3B"/>
    <w:rsid w:val="0024372E"/>
    <w:rsid w:val="00346202"/>
    <w:rsid w:val="003A290A"/>
    <w:rsid w:val="003F5294"/>
    <w:rsid w:val="00406513"/>
    <w:rsid w:val="004764B6"/>
    <w:rsid w:val="004908B2"/>
    <w:rsid w:val="0052018A"/>
    <w:rsid w:val="00636687"/>
    <w:rsid w:val="0068268F"/>
    <w:rsid w:val="006C6578"/>
    <w:rsid w:val="0084621D"/>
    <w:rsid w:val="008B0246"/>
    <w:rsid w:val="008B5D54"/>
    <w:rsid w:val="008D2462"/>
    <w:rsid w:val="00916197"/>
    <w:rsid w:val="009D677A"/>
    <w:rsid w:val="00A071F8"/>
    <w:rsid w:val="00A55E94"/>
    <w:rsid w:val="00A93544"/>
    <w:rsid w:val="00B33058"/>
    <w:rsid w:val="00B47560"/>
    <w:rsid w:val="00B55735"/>
    <w:rsid w:val="00B608AC"/>
    <w:rsid w:val="00BF51C7"/>
    <w:rsid w:val="00C50E42"/>
    <w:rsid w:val="00CA5D65"/>
    <w:rsid w:val="00CD75E4"/>
    <w:rsid w:val="00DC57CC"/>
    <w:rsid w:val="00DE2813"/>
    <w:rsid w:val="00ED072E"/>
    <w:rsid w:val="00F95E01"/>
    <w:rsid w:val="00FA59A1"/>
    <w:rsid w:val="00FD72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62"/>
  </w:style>
  <w:style w:type="paragraph" w:styleId="Titre1">
    <w:name w:val="heading 1"/>
    <w:basedOn w:val="Normal"/>
    <w:next w:val="Normal"/>
    <w:link w:val="Titre1Car"/>
    <w:uiPriority w:val="9"/>
    <w:qFormat/>
    <w:rsid w:val="00BF51C7"/>
    <w:pPr>
      <w:keepNext/>
      <w:keepLines/>
      <w:spacing w:before="480" w:after="0"/>
      <w:outlineLvl w:val="0"/>
    </w:pPr>
    <w:rPr>
      <w:rFonts w:asciiTheme="majorHAnsi" w:eastAsiaTheme="majorEastAsia" w:hAnsiTheme="majorHAnsi" w:cstheme="majorBidi"/>
      <w:b/>
      <w:bCs/>
      <w:color w:val="365F91" w:themeColor="accent1" w:themeShade="BF"/>
      <w:sz w:val="28"/>
      <w:szCs w:val="28"/>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D54"/>
    <w:pPr>
      <w:tabs>
        <w:tab w:val="center" w:pos="4680"/>
        <w:tab w:val="right" w:pos="9360"/>
      </w:tabs>
      <w:spacing w:after="0" w:line="240" w:lineRule="auto"/>
    </w:pPr>
  </w:style>
  <w:style w:type="character" w:customStyle="1" w:styleId="En-tteCar">
    <w:name w:val="En-tête Car"/>
    <w:basedOn w:val="Policepardfaut"/>
    <w:link w:val="En-tte"/>
    <w:uiPriority w:val="99"/>
    <w:rsid w:val="008B5D54"/>
  </w:style>
  <w:style w:type="paragraph" w:styleId="Pieddepage">
    <w:name w:val="footer"/>
    <w:basedOn w:val="Normal"/>
    <w:link w:val="PieddepageCar"/>
    <w:uiPriority w:val="99"/>
    <w:unhideWhenUsed/>
    <w:rsid w:val="008B5D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5D54"/>
  </w:style>
  <w:style w:type="table" w:styleId="Grilledutableau">
    <w:name w:val="Table Grid"/>
    <w:basedOn w:val="TableauNormal"/>
    <w:uiPriority w:val="59"/>
    <w:rsid w:val="00A55E94"/>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
    <w:basedOn w:val="Normal"/>
    <w:link w:val="ParagraphedelisteCar"/>
    <w:uiPriority w:val="34"/>
    <w:qFormat/>
    <w:rsid w:val="00A55E94"/>
    <w:pPr>
      <w:ind w:left="720"/>
      <w:contextualSpacing/>
    </w:pPr>
    <w:rPr>
      <w:lang w:val="fr-FR"/>
    </w:rPr>
  </w:style>
  <w:style w:type="paragraph" w:styleId="Textedebulles">
    <w:name w:val="Balloon Text"/>
    <w:basedOn w:val="Normal"/>
    <w:link w:val="TextedebullesCar"/>
    <w:uiPriority w:val="99"/>
    <w:semiHidden/>
    <w:unhideWhenUsed/>
    <w:rsid w:val="00BF51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51C7"/>
    <w:rPr>
      <w:rFonts w:ascii="Segoe UI" w:hAnsi="Segoe UI" w:cs="Segoe UI"/>
      <w:sz w:val="18"/>
      <w:szCs w:val="18"/>
    </w:rPr>
  </w:style>
  <w:style w:type="character" w:customStyle="1" w:styleId="Titre1Car">
    <w:name w:val="Titre 1 Car"/>
    <w:basedOn w:val="Policepardfaut"/>
    <w:link w:val="Titre1"/>
    <w:uiPriority w:val="9"/>
    <w:rsid w:val="00BF51C7"/>
    <w:rPr>
      <w:rFonts w:asciiTheme="majorHAnsi" w:eastAsiaTheme="majorEastAsia" w:hAnsiTheme="majorHAnsi" w:cstheme="majorBidi"/>
      <w:b/>
      <w:bCs/>
      <w:color w:val="365F91" w:themeColor="accent1" w:themeShade="BF"/>
      <w:sz w:val="28"/>
      <w:szCs w:val="28"/>
      <w:lang w:val="fr-ML"/>
    </w:rPr>
  </w:style>
  <w:style w:type="character" w:customStyle="1" w:styleId="ParagraphedelisteCar">
    <w:name w:val="Paragraphe de liste Car"/>
    <w:aliases w:val="References Car"/>
    <w:basedOn w:val="Policepardfaut"/>
    <w:link w:val="Paragraphedeliste"/>
    <w:uiPriority w:val="34"/>
    <w:rsid w:val="00BF51C7"/>
    <w:rPr>
      <w:lang w:val="fr-FR"/>
    </w:rPr>
  </w:style>
  <w:style w:type="character" w:customStyle="1" w:styleId="shorttext">
    <w:name w:val="short_text"/>
    <w:basedOn w:val="Policepardfaut"/>
    <w:rsid w:val="00BF5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F51C7"/>
    <w:pPr>
      <w:keepNext/>
      <w:keepLines/>
      <w:spacing w:before="480" w:after="0"/>
      <w:outlineLvl w:val="0"/>
    </w:pPr>
    <w:rPr>
      <w:rFonts w:asciiTheme="majorHAnsi" w:eastAsiaTheme="majorEastAsia" w:hAnsiTheme="majorHAnsi" w:cstheme="majorBidi"/>
      <w:b/>
      <w:bCs/>
      <w:color w:val="365F91" w:themeColor="accent1" w:themeShade="BF"/>
      <w:sz w:val="28"/>
      <w:szCs w:val="28"/>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D54"/>
    <w:pPr>
      <w:tabs>
        <w:tab w:val="center" w:pos="4680"/>
        <w:tab w:val="right" w:pos="9360"/>
      </w:tabs>
      <w:spacing w:after="0" w:line="240" w:lineRule="auto"/>
    </w:pPr>
  </w:style>
  <w:style w:type="character" w:customStyle="1" w:styleId="En-tteCar">
    <w:name w:val="En-tête Car"/>
    <w:basedOn w:val="Policepardfaut"/>
    <w:link w:val="En-tte"/>
    <w:uiPriority w:val="99"/>
    <w:rsid w:val="008B5D54"/>
  </w:style>
  <w:style w:type="paragraph" w:styleId="Pieddepage">
    <w:name w:val="footer"/>
    <w:basedOn w:val="Normal"/>
    <w:link w:val="PieddepageCar"/>
    <w:uiPriority w:val="99"/>
    <w:unhideWhenUsed/>
    <w:rsid w:val="008B5D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5D54"/>
  </w:style>
  <w:style w:type="table" w:styleId="Grilledutableau">
    <w:name w:val="Table Grid"/>
    <w:basedOn w:val="TableauNormal"/>
    <w:uiPriority w:val="59"/>
    <w:rsid w:val="00A55E9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A55E94"/>
    <w:pPr>
      <w:ind w:left="720"/>
      <w:contextualSpacing/>
    </w:pPr>
    <w:rPr>
      <w:lang w:val="fr-FR"/>
    </w:rPr>
  </w:style>
  <w:style w:type="paragraph" w:styleId="Textedebulles">
    <w:name w:val="Balloon Text"/>
    <w:basedOn w:val="Normal"/>
    <w:link w:val="TextedebullesCar"/>
    <w:uiPriority w:val="99"/>
    <w:semiHidden/>
    <w:unhideWhenUsed/>
    <w:rsid w:val="00BF51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51C7"/>
    <w:rPr>
      <w:rFonts w:ascii="Segoe UI" w:hAnsi="Segoe UI" w:cs="Segoe UI"/>
      <w:sz w:val="18"/>
      <w:szCs w:val="18"/>
    </w:rPr>
  </w:style>
  <w:style w:type="character" w:customStyle="1" w:styleId="Titre1Car">
    <w:name w:val="Titre 1 Car"/>
    <w:basedOn w:val="Policepardfaut"/>
    <w:link w:val="Titre1"/>
    <w:uiPriority w:val="9"/>
    <w:rsid w:val="00BF51C7"/>
    <w:rPr>
      <w:rFonts w:asciiTheme="majorHAnsi" w:eastAsiaTheme="majorEastAsia" w:hAnsiTheme="majorHAnsi" w:cstheme="majorBidi"/>
      <w:b/>
      <w:bCs/>
      <w:color w:val="365F91" w:themeColor="accent1" w:themeShade="BF"/>
      <w:sz w:val="28"/>
      <w:szCs w:val="28"/>
      <w:lang w:val="fr-ML"/>
    </w:rPr>
  </w:style>
  <w:style w:type="character" w:customStyle="1" w:styleId="ParagraphedelisteCar">
    <w:name w:val="Paragraphe de liste Car"/>
    <w:aliases w:val="References Car"/>
    <w:basedOn w:val="Policepardfaut"/>
    <w:link w:val="Paragraphedeliste"/>
    <w:uiPriority w:val="34"/>
    <w:rsid w:val="00BF51C7"/>
    <w:rPr>
      <w:lang w:val="fr-FR"/>
    </w:rPr>
  </w:style>
  <w:style w:type="character" w:customStyle="1" w:styleId="shorttext">
    <w:name w:val="short_text"/>
    <w:basedOn w:val="Policepardfaut"/>
    <w:rsid w:val="00BF51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3B84-3645-49DF-A05F-7ECF1034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6649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2017-05-09T11:33:00Z</dcterms:created>
  <dcterms:modified xsi:type="dcterms:W3CDTF">2017-05-09T11:33:00Z</dcterms:modified>
</cp:coreProperties>
</file>