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726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559"/>
        <w:gridCol w:w="7229"/>
        <w:gridCol w:w="1560"/>
        <w:gridCol w:w="3260"/>
      </w:tblGrid>
      <w:tr w:rsidR="00196F45" w:rsidRPr="008B0FAB" w:rsidTr="004E231C">
        <w:trPr>
          <w:trHeight w:val="1128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45" w:rsidRPr="008B0FAB" w:rsidRDefault="00196F45" w:rsidP="00E4337D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Date </w:t>
            </w:r>
            <w:r w:rsidR="0024060E" w:rsidRPr="008B0FAB">
              <w:rPr>
                <w:rFonts w:asciiTheme="minorHAnsi" w:hAnsiTheme="minorHAnsi"/>
                <w:b/>
                <w:sz w:val="24"/>
                <w:szCs w:val="24"/>
              </w:rPr>
              <w:t>18</w:t>
            </w:r>
            <w:r w:rsidR="00B730C7" w:rsidRPr="008B0FAB">
              <w:rPr>
                <w:rFonts w:asciiTheme="minorHAnsi" w:hAnsiTheme="minorHAnsi"/>
                <w:b/>
                <w:sz w:val="24"/>
                <w:szCs w:val="24"/>
              </w:rPr>
              <w:t>/</w:t>
            </w:r>
            <w:r w:rsidR="007528A6" w:rsidRPr="008B0FAB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24060E" w:rsidRPr="008B0FAB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/1</w:t>
            </w:r>
            <w:r w:rsidR="007528A6" w:rsidRPr="008B0FAB">
              <w:rPr>
                <w:rFonts w:asciiTheme="minorHAnsi" w:hAnsiTheme="minorHAnsi"/>
                <w:b/>
                <w:sz w:val="24"/>
                <w:szCs w:val="24"/>
              </w:rPr>
              <w:t>5</w:t>
            </w:r>
          </w:p>
          <w:p w:rsidR="00196F45" w:rsidRPr="008B0FAB" w:rsidRDefault="00196F45" w:rsidP="00351A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Heure </w:t>
            </w:r>
            <w:r w:rsidR="005A60F2" w:rsidRPr="008B0FAB">
              <w:rPr>
                <w:rFonts w:asciiTheme="minorHAnsi" w:hAnsiTheme="minorHAnsi"/>
                <w:sz w:val="24"/>
                <w:szCs w:val="24"/>
              </w:rPr>
              <w:t>: 14h30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>-</w:t>
            </w:r>
            <w:r w:rsidR="007528A6" w:rsidRPr="008B0FAB">
              <w:rPr>
                <w:rFonts w:asciiTheme="minorHAnsi" w:hAnsiTheme="minorHAnsi"/>
                <w:sz w:val="24"/>
                <w:szCs w:val="24"/>
              </w:rPr>
              <w:t>16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>h</w:t>
            </w:r>
            <w:r w:rsidR="008B0FAB">
              <w:rPr>
                <w:rFonts w:asciiTheme="minorHAnsi" w:hAnsiTheme="minorHAnsi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45" w:rsidRPr="008B0FAB" w:rsidRDefault="00196F45" w:rsidP="00E4337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COMPTE RENDU DE REUNION D</w:t>
            </w:r>
            <w:r w:rsidR="00D05E01">
              <w:rPr>
                <w:rFonts w:asciiTheme="minorHAnsi" w:hAnsiTheme="minorHAnsi"/>
                <w:b/>
                <w:sz w:val="24"/>
                <w:szCs w:val="24"/>
              </w:rPr>
              <w:t xml:space="preserve">U CLUSTER SANTE </w:t>
            </w:r>
            <w:r w:rsidR="00565B97">
              <w:rPr>
                <w:rFonts w:asciiTheme="minorHAnsi" w:hAnsiTheme="minorHAnsi"/>
                <w:b/>
                <w:sz w:val="24"/>
                <w:szCs w:val="24"/>
              </w:rPr>
              <w:t>MALI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45" w:rsidRPr="008B0FAB" w:rsidRDefault="00196F45" w:rsidP="00E4337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Lieu :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Salle </w:t>
            </w:r>
            <w:r w:rsidR="007759C7" w:rsidRPr="008B0FAB">
              <w:rPr>
                <w:rFonts w:asciiTheme="minorHAnsi" w:hAnsiTheme="minorHAnsi"/>
                <w:sz w:val="24"/>
                <w:szCs w:val="24"/>
              </w:rPr>
              <w:t>Grande salle de réunion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45" w:rsidRPr="008B0FAB" w:rsidRDefault="00196F45" w:rsidP="00E4337D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Participants :</w:t>
            </w:r>
          </w:p>
          <w:p w:rsidR="00D565D2" w:rsidRPr="004E231C" w:rsidRDefault="004E231C" w:rsidP="00E4337D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4E231C">
              <w:rPr>
                <w:rFonts w:asciiTheme="minorHAnsi" w:hAnsiTheme="minorHAnsi"/>
                <w:b/>
                <w:sz w:val="16"/>
                <w:szCs w:val="16"/>
              </w:rPr>
              <w:t>ACF-E, IRC,MDM-B,PU-AMI, Croix Rouge F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rançaise, MSF Espagne, CDC/PMI,Abt AIRS, USAID, MMA,CICR, Medicos Del MUNDO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Espagne,  MDM-F, OMS,  IMC,  Measure Eval.</w:t>
            </w:r>
          </w:p>
          <w:p w:rsidR="00FF3F7C" w:rsidRPr="008B0FAB" w:rsidRDefault="00FF3F7C" w:rsidP="00E4337D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3F7C" w:rsidRPr="008B0FAB" w:rsidRDefault="00FF3F7C" w:rsidP="00E4337D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95F" w:rsidRPr="008B0FAB" w:rsidRDefault="00F8595F" w:rsidP="00E4337D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196F45" w:rsidRPr="008B0FAB" w:rsidRDefault="00196F45" w:rsidP="00E4337D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196F45" w:rsidRPr="008B0FAB" w:rsidRDefault="00196F45" w:rsidP="00E4337D">
            <w:pPr>
              <w:pStyle w:val="Paragraphedeliste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  <w:p w:rsidR="00196F45" w:rsidRPr="008B0FAB" w:rsidRDefault="00196F45" w:rsidP="00E4337D">
            <w:pPr>
              <w:pStyle w:val="Paragraphedeliste"/>
              <w:rPr>
                <w:rFonts w:asciiTheme="minorHAnsi" w:hAnsiTheme="minorHAnsi"/>
                <w:sz w:val="24"/>
                <w:szCs w:val="24"/>
              </w:rPr>
            </w:pPr>
          </w:p>
          <w:p w:rsidR="00196F45" w:rsidRPr="008B0FAB" w:rsidRDefault="00196F45" w:rsidP="00E433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9669E" w:rsidRPr="008B0FAB" w:rsidTr="00B93646">
        <w:trPr>
          <w:trHeight w:hRule="exact" w:val="10"/>
        </w:trPr>
        <w:tc>
          <w:tcPr>
            <w:tcW w:w="1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9E" w:rsidRPr="008B0FAB" w:rsidRDefault="0099669E" w:rsidP="00E4337D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Agenda</w:t>
            </w: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 :</w:t>
            </w:r>
          </w:p>
          <w:p w:rsidR="0099669E" w:rsidRPr="008B0FAB" w:rsidRDefault="0099669E" w:rsidP="0037473B">
            <w:pPr>
              <w:pStyle w:val="Paragraphedelist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9669E" w:rsidRPr="008B0FAB" w:rsidRDefault="0099669E" w:rsidP="00763DA4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Surveillance épidémiologique et laboratoire</w:t>
            </w:r>
          </w:p>
          <w:p w:rsidR="0099669E" w:rsidRPr="008B0FAB" w:rsidRDefault="0099669E" w:rsidP="00763DA4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Prévention et contrôle de l’infection</w:t>
            </w:r>
          </w:p>
          <w:p w:rsidR="0099669E" w:rsidRPr="008B0FAB" w:rsidRDefault="0099669E" w:rsidP="00763DA4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Prise en charge clinique</w:t>
            </w:r>
          </w:p>
          <w:p w:rsidR="0099669E" w:rsidRPr="008B0FAB" w:rsidRDefault="0099669E" w:rsidP="00763DA4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Communication et mobilisation sociale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9E" w:rsidRPr="008B0FAB" w:rsidRDefault="0099669E" w:rsidP="00E4337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3024" w:rsidRPr="008B0FAB" w:rsidTr="007528A6">
        <w:trPr>
          <w:trHeight w:val="1485"/>
        </w:trPr>
        <w:tc>
          <w:tcPr>
            <w:tcW w:w="16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24" w:rsidRPr="008B0FAB" w:rsidRDefault="0024060E" w:rsidP="0016611D">
            <w:pPr>
              <w:pStyle w:val="Paragraphedeliste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Ordre du jour :</w:t>
            </w:r>
          </w:p>
          <w:p w:rsidR="00D31FBC" w:rsidRPr="008B0FAB" w:rsidRDefault="0030733E" w:rsidP="0024060E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bCs/>
                <w:sz w:val="24"/>
                <w:szCs w:val="24"/>
              </w:rPr>
              <w:t>Présentation du plan stratégique pour la pulvérisation intra domiciliaire au Mali ;</w:t>
            </w:r>
          </w:p>
          <w:p w:rsidR="00D31FBC" w:rsidRPr="008B0FAB" w:rsidRDefault="0030733E" w:rsidP="0024060E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bCs/>
                <w:sz w:val="24"/>
                <w:szCs w:val="24"/>
              </w:rPr>
              <w:t>Présentation de l’étude d’évaluation de l’impact du paludisme au Mali ;</w:t>
            </w:r>
          </w:p>
          <w:p w:rsidR="00D31FBC" w:rsidRPr="008B0FAB" w:rsidRDefault="0030733E" w:rsidP="0024060E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bCs/>
                <w:sz w:val="24"/>
                <w:szCs w:val="24"/>
              </w:rPr>
              <w:t>Point sur l’évaluation du Cluster Santé ;</w:t>
            </w:r>
          </w:p>
          <w:p w:rsidR="0024060E" w:rsidRPr="008B0FAB" w:rsidRDefault="0024060E" w:rsidP="0024060E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bCs/>
                <w:sz w:val="24"/>
                <w:szCs w:val="24"/>
              </w:rPr>
              <w:t>Divers</w:t>
            </w:r>
          </w:p>
          <w:p w:rsidR="006A3024" w:rsidRPr="008B0FAB" w:rsidRDefault="006A3024" w:rsidP="0024060E">
            <w:pPr>
              <w:pStyle w:val="Paragraphedeliste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51E50" w:rsidRPr="008B0FAB" w:rsidTr="00751E50">
        <w:trPr>
          <w:trHeight w:val="697"/>
        </w:trPr>
        <w:tc>
          <w:tcPr>
            <w:tcW w:w="16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E50" w:rsidRPr="008B0FAB" w:rsidRDefault="00751E50" w:rsidP="00D05E01">
            <w:pPr>
              <w:tabs>
                <w:tab w:val="left" w:pos="1050"/>
              </w:tabs>
              <w:rPr>
                <w:rFonts w:asciiTheme="minorHAnsi" w:hAnsiTheme="minorHAnsi"/>
                <w:sz w:val="24"/>
                <w:szCs w:val="24"/>
                <w:lang w:eastAsia="fr-FR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 xml:space="preserve">Introduction : </w:t>
            </w:r>
            <w:r w:rsidR="0024060E" w:rsidRPr="008B0FAB">
              <w:rPr>
                <w:rFonts w:asciiTheme="minorHAnsi" w:hAnsiTheme="minorHAnsi"/>
                <w:sz w:val="24"/>
                <w:szCs w:val="24"/>
                <w:lang w:eastAsia="fr-FR"/>
              </w:rPr>
              <w:t>la réunion a commencé à 14h40</w:t>
            </w:r>
            <w:r w:rsidRPr="008B0FAB">
              <w:rPr>
                <w:rFonts w:asciiTheme="minorHAnsi" w:hAnsiTheme="minorHAnsi"/>
                <w:sz w:val="24"/>
                <w:szCs w:val="24"/>
                <w:lang w:eastAsia="fr-FR"/>
              </w:rPr>
              <w:t>mn par les mots de bienvenue</w:t>
            </w:r>
            <w:r w:rsidR="0024060E" w:rsidRPr="008B0FAB">
              <w:rPr>
                <w:rFonts w:asciiTheme="minorHAnsi" w:hAnsiTheme="minorHAnsi"/>
                <w:sz w:val="24"/>
                <w:szCs w:val="24"/>
                <w:lang w:eastAsia="fr-FR"/>
              </w:rPr>
              <w:t>, D</w:t>
            </w:r>
            <w:r w:rsidRPr="008B0FAB">
              <w:rPr>
                <w:rFonts w:asciiTheme="minorHAnsi" w:hAnsiTheme="minorHAnsi"/>
                <w:sz w:val="24"/>
                <w:szCs w:val="24"/>
                <w:lang w:eastAsia="fr-FR"/>
              </w:rPr>
              <w:t>r</w:t>
            </w:r>
            <w:r w:rsidR="0024060E" w:rsidRPr="008B0FAB">
              <w:rPr>
                <w:rFonts w:asciiTheme="minorHAnsi" w:hAnsiTheme="minorHAnsi"/>
                <w:sz w:val="24"/>
                <w:szCs w:val="24"/>
                <w:lang w:eastAsia="fr-FR"/>
              </w:rPr>
              <w:t xml:space="preserve"> Cheick Oumar COULIBALY</w:t>
            </w:r>
            <w:r w:rsidRPr="008B0FAB">
              <w:rPr>
                <w:rFonts w:asciiTheme="minorHAnsi" w:hAnsiTheme="minorHAnsi"/>
                <w:sz w:val="24"/>
                <w:szCs w:val="24"/>
                <w:lang w:eastAsia="fr-FR"/>
              </w:rPr>
              <w:t>.</w:t>
            </w:r>
            <w:r w:rsidR="0024060E" w:rsidRPr="008B0FAB">
              <w:rPr>
                <w:rFonts w:asciiTheme="minorHAnsi" w:hAnsiTheme="minorHAnsi"/>
                <w:sz w:val="24"/>
                <w:szCs w:val="24"/>
                <w:lang w:eastAsia="fr-FR"/>
              </w:rPr>
              <w:t>Il a ensuite présenté l’ordre du jour ci-dessus, qui fut a</w:t>
            </w:r>
            <w:r w:rsidRPr="008B0FAB">
              <w:rPr>
                <w:rFonts w:asciiTheme="minorHAnsi" w:hAnsiTheme="minorHAnsi"/>
                <w:sz w:val="24"/>
                <w:szCs w:val="24"/>
                <w:lang w:eastAsia="fr-FR"/>
              </w:rPr>
              <w:t>dopté</w:t>
            </w:r>
            <w:r w:rsidR="0024060E" w:rsidRPr="008B0FAB">
              <w:rPr>
                <w:rFonts w:asciiTheme="minorHAnsi" w:hAnsiTheme="minorHAnsi"/>
                <w:sz w:val="24"/>
                <w:szCs w:val="24"/>
                <w:lang w:eastAsia="fr-FR"/>
              </w:rPr>
              <w:t xml:space="preserve"> sans amendement.</w:t>
            </w:r>
          </w:p>
        </w:tc>
      </w:tr>
      <w:tr w:rsidR="006A3024" w:rsidRPr="008B0FAB" w:rsidTr="006F4C71">
        <w:trPr>
          <w:trHeight w:val="2273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15" w:rsidRPr="008B0FAB" w:rsidRDefault="001166E2" w:rsidP="00205F9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1. </w:t>
            </w:r>
            <w:r w:rsidR="0024060E" w:rsidRPr="008B0FAB">
              <w:rPr>
                <w:rFonts w:asciiTheme="minorHAnsi" w:hAnsiTheme="minorHAnsi"/>
                <w:b/>
                <w:bCs/>
                <w:sz w:val="24"/>
                <w:szCs w:val="24"/>
                <w:lang w:eastAsia="fr-FR"/>
              </w:rPr>
              <w:t xml:space="preserve"> Présentation du plan stratégique pour la pulvérisation intra domiciliaire au Mali </w:t>
            </w:r>
          </w:p>
          <w:p w:rsidR="00205F93" w:rsidRPr="008B0FAB" w:rsidRDefault="00205F93" w:rsidP="00205F9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6A3024" w:rsidRPr="008B0FAB" w:rsidRDefault="006A3024" w:rsidP="007E4C0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A0" w:rsidRPr="008B0FAB" w:rsidRDefault="00D55A5E" w:rsidP="0024060E">
            <w:p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 xml:space="preserve">La présentation a </w:t>
            </w:r>
            <w:r w:rsidR="0024060E" w:rsidRPr="008B0FAB">
              <w:rPr>
                <w:rFonts w:asciiTheme="minorHAnsi" w:hAnsiTheme="minorHAnsi"/>
                <w:sz w:val="24"/>
                <w:szCs w:val="24"/>
              </w:rPr>
              <w:t xml:space="preserve">été par Dr  Elie Bankineza,  Chief of Party/PMI-Abt Associates-Mali AIRS Project. Elle s’est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focalisée</w:t>
            </w:r>
            <w:r w:rsidR="0024060E" w:rsidRPr="008B0FAB">
              <w:rPr>
                <w:rFonts w:asciiTheme="minorHAnsi" w:hAnsiTheme="minorHAnsi"/>
                <w:sz w:val="24"/>
                <w:szCs w:val="24"/>
              </w:rPr>
              <w:t xml:space="preserve"> essentiellement sur le plan </w:t>
            </w:r>
            <w:r w:rsidR="00EA1284" w:rsidRPr="008B0FAB">
              <w:rPr>
                <w:rFonts w:asciiTheme="minorHAnsi" w:hAnsiTheme="minorHAnsi"/>
                <w:sz w:val="24"/>
                <w:szCs w:val="24"/>
              </w:rPr>
              <w:t>stratégique</w:t>
            </w:r>
            <w:r w:rsidR="0024060E" w:rsidRPr="008B0FAB">
              <w:rPr>
                <w:rFonts w:asciiTheme="minorHAnsi" w:hAnsiTheme="minorHAnsi"/>
                <w:sz w:val="24"/>
                <w:szCs w:val="24"/>
              </w:rPr>
              <w:t xml:space="preserve"> 2016-2020 de la </w:t>
            </w:r>
            <w:r w:rsidR="00EA1284" w:rsidRPr="008B0FAB">
              <w:rPr>
                <w:rFonts w:asciiTheme="minorHAnsi" w:hAnsiTheme="minorHAnsi"/>
                <w:sz w:val="24"/>
                <w:szCs w:val="24"/>
              </w:rPr>
              <w:t>pulvérisation</w:t>
            </w:r>
            <w:r w:rsidR="0024060E" w:rsidRPr="008B0FAB">
              <w:rPr>
                <w:rFonts w:asciiTheme="minorHAnsi" w:hAnsiTheme="minorHAnsi"/>
                <w:sz w:val="24"/>
                <w:szCs w:val="24"/>
              </w:rPr>
              <w:t xml:space="preserve"> intra </w:t>
            </w:r>
            <w:r w:rsidR="00EA1284" w:rsidRPr="008B0FAB">
              <w:rPr>
                <w:rFonts w:asciiTheme="minorHAnsi" w:hAnsiTheme="minorHAnsi"/>
                <w:sz w:val="24"/>
                <w:szCs w:val="24"/>
              </w:rPr>
              <w:t>domiciliaire</w:t>
            </w:r>
            <w:r w:rsidR="0024060E" w:rsidRPr="008B0FAB">
              <w:rPr>
                <w:rFonts w:asciiTheme="minorHAnsi" w:hAnsiTheme="minorHAnsi"/>
                <w:sz w:val="24"/>
                <w:szCs w:val="24"/>
              </w:rPr>
              <w:t xml:space="preserve"> (PID). L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es résultats </w:t>
            </w:r>
            <w:r w:rsidR="0024060E" w:rsidRPr="008B0FAB">
              <w:rPr>
                <w:rFonts w:asciiTheme="minorHAnsi" w:hAnsiTheme="minorHAnsi"/>
                <w:sz w:val="24"/>
                <w:szCs w:val="24"/>
              </w:rPr>
              <w:t>obtenus par leur structure dans les districts de 3 districts à l’</w:t>
            </w:r>
            <w:r w:rsidR="00EA1284" w:rsidRPr="008B0FAB">
              <w:rPr>
                <w:rFonts w:asciiTheme="minorHAnsi" w:hAnsiTheme="minorHAnsi"/>
                <w:sz w:val="24"/>
                <w:szCs w:val="24"/>
              </w:rPr>
              <w:t>intérieur</w:t>
            </w:r>
            <w:r w:rsidR="0024060E" w:rsidRPr="008B0FAB">
              <w:rPr>
                <w:rFonts w:asciiTheme="minorHAnsi" w:hAnsiTheme="minorHAnsi"/>
                <w:sz w:val="24"/>
                <w:szCs w:val="24"/>
              </w:rPr>
              <w:t xml:space="preserve"> du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pays,</w:t>
            </w:r>
            <w:r w:rsidR="00EA1284" w:rsidRPr="008B0FAB">
              <w:rPr>
                <w:rFonts w:asciiTheme="minorHAnsi" w:hAnsiTheme="minorHAnsi"/>
                <w:sz w:val="24"/>
                <w:szCs w:val="24"/>
              </w:rPr>
              <w:t xml:space="preserve">La </w:t>
            </w:r>
            <w:r w:rsidR="00AD20EF" w:rsidRPr="008B0FAB">
              <w:rPr>
                <w:rFonts w:asciiTheme="minorHAnsi" w:hAnsiTheme="minorHAnsi"/>
                <w:sz w:val="24"/>
                <w:szCs w:val="24"/>
              </w:rPr>
              <w:t xml:space="preserve"> présentation</w:t>
            </w:r>
            <w:r w:rsidR="00EA1284" w:rsidRPr="008B0FAB">
              <w:rPr>
                <w:rFonts w:asciiTheme="minorHAnsi" w:hAnsiTheme="minorHAnsi"/>
                <w:sz w:val="24"/>
                <w:szCs w:val="24"/>
              </w:rPr>
              <w:t xml:space="preserve"> a permis de savoir que : </w:t>
            </w:r>
          </w:p>
          <w:p w:rsidR="00AD20EF" w:rsidRPr="008B0FAB" w:rsidRDefault="00EA1284" w:rsidP="003D6648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La PID est l’une des stratégies très efficace dans le processus d’élimination du Paludisme</w:t>
            </w:r>
            <w:r w:rsidR="00AD20EF" w:rsidRPr="008B0FAB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:rsidR="00AD20EF" w:rsidRPr="008B0FAB" w:rsidRDefault="00EA1284" w:rsidP="003D6648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L’insuffisance de financement pour sa mise en œuvre, un seul bailleur y est impliqué à ce jour au Mali, le PMI</w:t>
            </w:r>
          </w:p>
          <w:p w:rsidR="00AD20EF" w:rsidRPr="008B0FAB" w:rsidRDefault="00EA1284" w:rsidP="003D6648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L’inadéquation des capacités humaine</w:t>
            </w:r>
            <w:r w:rsidR="00D05E01">
              <w:rPr>
                <w:rFonts w:asciiTheme="minorHAnsi" w:hAnsiTheme="minorHAnsi"/>
                <w:sz w:val="24"/>
                <w:szCs w:val="24"/>
              </w:rPr>
              <w:t>s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et matérielles en vue de sa planification, mise en œuvre et la supervision des opérations de PID</w:t>
            </w:r>
            <w:r w:rsidR="00AD20EF" w:rsidRPr="008B0FAB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3D6648" w:rsidRPr="008B0FAB" w:rsidRDefault="00EA1284" w:rsidP="003D6648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La faiblesse des données et l’absence des données de la PID dans le système d’information sanitaire</w:t>
            </w:r>
          </w:p>
          <w:p w:rsidR="00EA1284" w:rsidRPr="008B0FAB" w:rsidRDefault="00EA1284" w:rsidP="003D6648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La faible collaboration des acteurs</w:t>
            </w:r>
          </w:p>
          <w:p w:rsidR="00AD20EF" w:rsidRPr="008B0FAB" w:rsidRDefault="00C33483" w:rsidP="00C33483">
            <w:pPr>
              <w:pStyle w:val="Paragraphedeliste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NB : (voir présentation pour plus de détail)</w:t>
            </w:r>
          </w:p>
          <w:p w:rsidR="003D6648" w:rsidRPr="008B0FAB" w:rsidRDefault="003D6648" w:rsidP="003D6648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8B0FAB">
              <w:rPr>
                <w:rFonts w:asciiTheme="minorHAnsi" w:hAnsiTheme="minorHAnsi"/>
                <w:sz w:val="24"/>
                <w:szCs w:val="24"/>
                <w:u w:val="single"/>
              </w:rPr>
              <w:t>Questions et commentaires :</w:t>
            </w:r>
          </w:p>
          <w:p w:rsidR="00C33483" w:rsidRPr="008B0FAB" w:rsidRDefault="00EA1284" w:rsidP="00C33483">
            <w:p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 xml:space="preserve">L’assistance a trouvé la </w:t>
            </w:r>
            <w:r w:rsidR="00C33483" w:rsidRPr="008B0FAB">
              <w:rPr>
                <w:rFonts w:asciiTheme="minorHAnsi" w:hAnsiTheme="minorHAnsi"/>
                <w:sz w:val="24"/>
                <w:szCs w:val="24"/>
              </w:rPr>
              <w:t>présentationtrèsintéressante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du point de vue information et a trouvé la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PID,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partie </w:t>
            </w:r>
            <w:r w:rsidR="00C33483" w:rsidRPr="008B0FAB">
              <w:rPr>
                <w:rFonts w:asciiTheme="minorHAnsi" w:hAnsiTheme="minorHAnsi"/>
                <w:sz w:val="24"/>
                <w:szCs w:val="24"/>
              </w:rPr>
              <w:t>intégrante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d’une </w:t>
            </w:r>
            <w:r w:rsidR="00C33483" w:rsidRPr="008B0FAB">
              <w:rPr>
                <w:rFonts w:asciiTheme="minorHAnsi" w:hAnsiTheme="minorHAnsi"/>
                <w:sz w:val="24"/>
                <w:szCs w:val="24"/>
              </w:rPr>
              <w:t>politique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d’</w:t>
            </w:r>
            <w:r w:rsidR="00C33483" w:rsidRPr="008B0FAB">
              <w:rPr>
                <w:rFonts w:asciiTheme="minorHAnsi" w:hAnsiTheme="minorHAnsi"/>
                <w:sz w:val="24"/>
                <w:szCs w:val="24"/>
              </w:rPr>
              <w:t>élimination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du paludisme en </w:t>
            </w:r>
            <w:r w:rsidR="00C33483" w:rsidRPr="008B0FAB">
              <w:rPr>
                <w:rFonts w:asciiTheme="minorHAnsi" w:hAnsiTheme="minorHAnsi"/>
                <w:sz w:val="24"/>
                <w:szCs w:val="24"/>
              </w:rPr>
              <w:t>complément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des autres </w:t>
            </w:r>
            <w:r w:rsidR="00C33483" w:rsidRPr="008B0FAB">
              <w:rPr>
                <w:rFonts w:asciiTheme="minorHAnsi" w:hAnsiTheme="minorHAnsi"/>
                <w:sz w:val="24"/>
                <w:szCs w:val="24"/>
              </w:rPr>
              <w:t>stratégiesexistantes. Ainsi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, des </w:t>
            </w:r>
            <w:r w:rsidR="00C33483" w:rsidRPr="008B0FAB">
              <w:rPr>
                <w:rFonts w:asciiTheme="minorHAnsi" w:hAnsiTheme="minorHAnsi"/>
                <w:sz w:val="24"/>
                <w:szCs w:val="24"/>
              </w:rPr>
              <w:t>questions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ont portées essentiellement sur :</w:t>
            </w:r>
          </w:p>
          <w:p w:rsidR="00C33483" w:rsidRPr="008B0FAB" w:rsidRDefault="00C33483" w:rsidP="00337733">
            <w:pPr>
              <w:pStyle w:val="Paragraphedeliste"/>
              <w:numPr>
                <w:ilvl w:val="0"/>
                <w:numId w:val="18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Le problème de la résistance des moustiques aux produits utilisés dans la PID</w:t>
            </w:r>
          </w:p>
          <w:p w:rsidR="00C33483" w:rsidRPr="008B0FAB" w:rsidRDefault="00C33483" w:rsidP="00337733">
            <w:pPr>
              <w:pStyle w:val="Paragraphedeliste"/>
              <w:numPr>
                <w:ilvl w:val="0"/>
                <w:numId w:val="18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Le manque d’exhaustivité des zones de pratique de la PID, 3 sur 63 districts existants</w:t>
            </w:r>
          </w:p>
          <w:p w:rsidR="005F0AEA" w:rsidRPr="008B0FAB" w:rsidRDefault="00C33483" w:rsidP="00C33483">
            <w:pPr>
              <w:pStyle w:val="Paragraphedeliste"/>
              <w:numPr>
                <w:ilvl w:val="0"/>
                <w:numId w:val="18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Les outils de suivi et  d’évaluation de la PID</w:t>
            </w:r>
            <w:r w:rsidR="00337733" w:rsidRPr="008B0FAB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337733" w:rsidRPr="008B0FAB" w:rsidRDefault="00C33483" w:rsidP="00337733">
            <w:pPr>
              <w:pStyle w:val="Paragraphedeliste"/>
              <w:numPr>
                <w:ilvl w:val="0"/>
                <w:numId w:val="18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 xml:space="preserve">L’absence de travaux sur la PID dans des districts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frontaliers</w:t>
            </w:r>
          </w:p>
          <w:p w:rsidR="00C33483" w:rsidRPr="008B0FAB" w:rsidRDefault="00C33483" w:rsidP="00337733">
            <w:pPr>
              <w:pStyle w:val="Paragraphedeliste"/>
              <w:numPr>
                <w:ilvl w:val="0"/>
                <w:numId w:val="18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Sa vulgarisation qui est au-delà du mandat du PNLP</w:t>
            </w:r>
          </w:p>
          <w:p w:rsidR="00AD20EF" w:rsidRPr="008B0FAB" w:rsidRDefault="00C33483" w:rsidP="002B347E">
            <w:p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A ces questions les réponses suivantes ont été données :</w:t>
            </w:r>
          </w:p>
          <w:p w:rsidR="00C33483" w:rsidRPr="008B0FAB" w:rsidRDefault="00C33483" w:rsidP="00C33483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La possibilité de retourner à un produit déjà utilisé dans une zone après deux changements</w:t>
            </w:r>
          </w:p>
          <w:p w:rsidR="00C33483" w:rsidRPr="008B0FAB" w:rsidRDefault="00C33483" w:rsidP="00C33483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lastRenderedPageBreak/>
              <w:t>Le manque de ressources  pour étendre à d’autres ressources</w:t>
            </w:r>
          </w:p>
          <w:p w:rsidR="00C33483" w:rsidRPr="008B0FAB" w:rsidRDefault="00C33483" w:rsidP="00C33483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 xml:space="preserve">La comparaison de l’incidence avant et après la mise en œuvre de la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PID,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la comparaison des données entres zone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où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elle est implémentées et une autre ou elle l’est pas.</w:t>
            </w:r>
          </w:p>
          <w:p w:rsidR="00C33483" w:rsidRPr="008B0FAB" w:rsidRDefault="00C33483" w:rsidP="00C33483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L’intérêt de voir les données des zones frontalières</w:t>
            </w:r>
          </w:p>
          <w:p w:rsidR="00C33483" w:rsidRPr="008B0FAB" w:rsidRDefault="00C33483" w:rsidP="00C33483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L’appui de tous les partenaires états, ONGs et PTF pour une implémentation a grande échelle de la stratégie dans le cadre de l’élimination du paludisme.</w:t>
            </w:r>
          </w:p>
          <w:p w:rsidR="00C33483" w:rsidRPr="008B0FAB" w:rsidRDefault="00C33483" w:rsidP="002B34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2CD6" w:rsidRPr="008B0FAB" w:rsidTr="004E231C">
        <w:trPr>
          <w:trHeight w:val="5214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A" w:rsidRPr="008B0FAB" w:rsidRDefault="00112CD6" w:rsidP="00AE2C8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2. </w:t>
            </w:r>
            <w:r w:rsidR="00AE2C8A" w:rsidRPr="008B0FA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Evaluation de l’impact de la mise à </w:t>
            </w:r>
            <w:r w:rsidR="00D05E01" w:rsidRPr="008B0FAB">
              <w:rPr>
                <w:rFonts w:asciiTheme="minorHAnsi" w:hAnsiTheme="minorHAnsi"/>
                <w:b/>
                <w:bCs/>
                <w:sz w:val="24"/>
                <w:szCs w:val="24"/>
              </w:rPr>
              <w:t>l’échelle</w:t>
            </w:r>
            <w:r w:rsidR="00AE2C8A" w:rsidRPr="008B0FA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des interventions de lutte contre le paludisme au Mali 2000-2012</w:t>
            </w:r>
          </w:p>
          <w:p w:rsidR="00112CD6" w:rsidRPr="008B0FAB" w:rsidRDefault="00112CD6" w:rsidP="002B347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A" w:rsidRPr="008B0FAB" w:rsidRDefault="00AE2C8A" w:rsidP="00AE2C8A">
            <w:pPr>
              <w:spacing w:after="0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Cette </w:t>
            </w:r>
            <w:r w:rsidR="00DF0495"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évaluation</w:t>
            </w: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est faite  par le PNLP est financé essentiellement par PMI, measure, le PNLP et ses partenaires.Elle </w:t>
            </w:r>
            <w:r w:rsidR="00DF0495"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sera effectuée </w:t>
            </w: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par  Dr  KassoumKayentao,  chercheur au MRTC .Le </w:t>
            </w:r>
            <w:r w:rsidR="00DF0495"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préventeur</w:t>
            </w: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nous permis de comprendre les enjeux de cette </w:t>
            </w:r>
            <w:r w:rsidR="00DF0495"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évaluation</w:t>
            </w: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en termes de </w:t>
            </w:r>
            <w:r w:rsidR="00DF0495"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méthodologie</w:t>
            </w: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, d’</w:t>
            </w:r>
            <w:r w:rsidR="00DF0495"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interprétation</w:t>
            </w: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et d’implication des </w:t>
            </w:r>
            <w:r w:rsidR="00DF0495"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différents</w:t>
            </w: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partenaires : </w:t>
            </w:r>
            <w:r w:rsidR="00745903"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état</w:t>
            </w: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, PTF , ONGs et chercheurs</w:t>
            </w:r>
          </w:p>
          <w:p w:rsidR="00AE2C8A" w:rsidRPr="008B0FAB" w:rsidRDefault="00AE2C8A" w:rsidP="00AE2C8A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:rsidR="00AE2C8A" w:rsidRPr="008B0FAB" w:rsidRDefault="00AE2C8A" w:rsidP="00EA3701">
            <w:pPr>
              <w:spacing w:after="0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Ainsi, à l’issue de sa </w:t>
            </w:r>
            <w:r w:rsidR="00DF0495"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présentation</w:t>
            </w:r>
            <w:r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, les points saillants à retenir sont :</w:t>
            </w:r>
          </w:p>
          <w:p w:rsidR="00112CD6" w:rsidRPr="008B0FAB" w:rsidRDefault="008B58AF" w:rsidP="00EA3701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. Le résultat est le suivant :</w:t>
            </w:r>
          </w:p>
          <w:p w:rsidR="00122F22" w:rsidRPr="008B0FAB" w:rsidRDefault="00AE2C8A" w:rsidP="00EA3701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 xml:space="preserve">Les indicateurs principaux sont : les données de programmes et les données populationnelles, les indicateurs de 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résultats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et les indicateurs d’impact</w:t>
            </w:r>
          </w:p>
          <w:p w:rsidR="00D31FBC" w:rsidRPr="008B0FAB" w:rsidRDefault="008B58AF" w:rsidP="005A22CA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</w:t>
            </w:r>
            <w:r w:rsidR="00AE2C8A" w:rsidRPr="008B0FAB">
              <w:rPr>
                <w:rFonts w:asciiTheme="minorHAnsi" w:hAnsiTheme="minorHAnsi"/>
                <w:sz w:val="24"/>
                <w:szCs w:val="24"/>
              </w:rPr>
              <w:t xml:space="preserve">’utilisation d’une 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>a</w:t>
            </w:r>
            <w:r w:rsidR="00AE2C8A" w:rsidRPr="008B0FAB">
              <w:rPr>
                <w:rFonts w:asciiTheme="minorHAnsi" w:hAnsiTheme="minorHAnsi"/>
                <w:sz w:val="24"/>
                <w:szCs w:val="24"/>
              </w:rPr>
              <w:t xml:space="preserve">pproche de 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plausibilité</w:t>
            </w:r>
            <w:r w:rsidR="00AE2C8A" w:rsidRPr="008B0FAB">
              <w:rPr>
                <w:rFonts w:asciiTheme="minorHAnsi" w:hAnsiTheme="minorHAnsi"/>
                <w:sz w:val="24"/>
                <w:szCs w:val="24"/>
              </w:rPr>
              <w:t xml:space="preserve"> et non de 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causalité</w:t>
            </w:r>
            <w:r w:rsidR="00AE2C8A" w:rsidRPr="008B0FAB">
              <w:rPr>
                <w:rFonts w:asciiTheme="minorHAnsi" w:hAnsiTheme="minorHAnsi"/>
                <w:sz w:val="24"/>
                <w:szCs w:val="24"/>
              </w:rPr>
              <w:t xml:space="preserve">. Les raisons de ce choix entre autres : 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présences</w:t>
            </w:r>
            <w:r w:rsidR="005A22CA" w:rsidRPr="008B0FAB">
              <w:rPr>
                <w:rFonts w:asciiTheme="minorHAnsi" w:hAnsiTheme="minorHAnsi"/>
                <w:sz w:val="24"/>
                <w:szCs w:val="24"/>
              </w:rPr>
              <w:t xml:space="preserve"> de faiblesses dans les d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 xml:space="preserve">onnées sur le paludisme </w:t>
            </w:r>
            <w:r w:rsidR="005A22CA" w:rsidRPr="008B0FAB">
              <w:rPr>
                <w:rFonts w:asciiTheme="minorHAnsi" w:hAnsiTheme="minorHAnsi"/>
                <w:sz w:val="24"/>
                <w:szCs w:val="24"/>
              </w:rPr>
              <w:t xml:space="preserve">, la difficulté de 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>mesurer la mortalité due au paludisme au niveau de la population</w:t>
            </w:r>
            <w:r w:rsidR="005A22CA" w:rsidRPr="008B0FAB">
              <w:rPr>
                <w:rFonts w:asciiTheme="minorHAnsi" w:hAnsiTheme="minorHAnsi"/>
                <w:sz w:val="24"/>
                <w:szCs w:val="24"/>
              </w:rPr>
              <w:t>, le m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>anque de données au niveau individuel pour mesurer les relations causales</w:t>
            </w:r>
            <w:r w:rsidR="005A22CA" w:rsidRPr="008B0FAB">
              <w:rPr>
                <w:rFonts w:asciiTheme="minorHAnsi" w:hAnsiTheme="minorHAnsi"/>
                <w:sz w:val="24"/>
                <w:szCs w:val="24"/>
              </w:rPr>
              <w:t>, les q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>uestion</w:t>
            </w:r>
            <w:r w:rsidR="005A22CA" w:rsidRPr="008B0FAB">
              <w:rPr>
                <w:rFonts w:asciiTheme="minorHAnsi" w:hAnsiTheme="minorHAnsi"/>
                <w:sz w:val="24"/>
                <w:szCs w:val="24"/>
              </w:rPr>
              <w:t>s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 xml:space="preserve"> sur l’utilisation des MII ne réfère qu’a la nuit précédant l’enquête</w:t>
            </w:r>
            <w:r w:rsidR="005A22CA" w:rsidRPr="008B0FAB">
              <w:rPr>
                <w:rFonts w:asciiTheme="minorHAnsi" w:hAnsiTheme="minorHAnsi"/>
                <w:sz w:val="24"/>
                <w:szCs w:val="24"/>
              </w:rPr>
              <w:t>, la m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>ortalité mesurée sur une période de cinq ans</w:t>
            </w:r>
          </w:p>
          <w:p w:rsidR="00D31FBC" w:rsidRPr="008B0FAB" w:rsidRDefault="005A22CA" w:rsidP="005A22CA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 xml:space="preserve">Les 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sources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des données  à 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savoir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les e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 xml:space="preserve">nquêtes ménages nationales: EDS 2001, 2006,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2012,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les e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 xml:space="preserve">nquête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d’</w:t>
            </w:r>
            <w:r w:rsidR="00D05E01" w:rsidRPr="008B0FAB">
              <w:rPr>
                <w:rFonts w:asciiTheme="minorHAnsi" w:hAnsiTheme="minorHAnsi"/>
                <w:i/>
                <w:iCs/>
                <w:sz w:val="24"/>
                <w:szCs w:val="24"/>
              </w:rPr>
              <w:t>anémie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 xml:space="preserve"> et 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parasité mie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 xml:space="preserve"> 2010 (EA&amp;P)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d’a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>utres enquêtes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à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répertorier,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les d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>onnées du système d’information sanitaire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et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les études</w:t>
            </w:r>
            <w:r w:rsidR="0030733E" w:rsidRPr="008B0FAB">
              <w:rPr>
                <w:rFonts w:asciiTheme="minorHAnsi" w:hAnsiTheme="minorHAnsi"/>
                <w:sz w:val="24"/>
                <w:szCs w:val="24"/>
              </w:rPr>
              <w:t xml:space="preserve"> de cas   </w:t>
            </w:r>
          </w:p>
          <w:p w:rsidR="008B58AF" w:rsidRDefault="005A22CA" w:rsidP="00EA3701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L’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état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de progression du planning de l’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évaluation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pour sa 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réalisation</w:t>
            </w:r>
            <w:r w:rsidRPr="008B0FAB">
              <w:rPr>
                <w:rFonts w:asciiTheme="minorHAnsi" w:hAnsiTheme="minorHAnsi"/>
                <w:sz w:val="24"/>
                <w:szCs w:val="24"/>
              </w:rPr>
              <w:t xml:space="preserve"> dans les 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délais</w:t>
            </w:r>
          </w:p>
          <w:p w:rsidR="00745903" w:rsidRPr="008B0FAB" w:rsidRDefault="00745903" w:rsidP="00745903">
            <w:pPr>
              <w:pStyle w:val="Paragraphedeliste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b/>
                <w:sz w:val="24"/>
                <w:szCs w:val="24"/>
              </w:rPr>
              <w:t>NB : (voir présentation pour plus de détail)</w:t>
            </w:r>
          </w:p>
          <w:p w:rsidR="00745903" w:rsidRPr="008B0FAB" w:rsidRDefault="00745903" w:rsidP="00745903">
            <w:pPr>
              <w:pStyle w:val="Paragraphedeliste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  <w:p w:rsidR="00122F22" w:rsidRPr="008B0FAB" w:rsidRDefault="00122F22" w:rsidP="005A22CA">
            <w:pPr>
              <w:pStyle w:val="Paragraphedeliste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F6014" w:rsidRPr="008B0FAB" w:rsidTr="00940235">
        <w:trPr>
          <w:trHeight w:val="1119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4" w:rsidRPr="008B0FAB" w:rsidRDefault="00BF6014" w:rsidP="00EA370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4" w:rsidRPr="008B0FAB" w:rsidRDefault="00EA3701" w:rsidP="00A17F8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  <w:u w:val="single"/>
              </w:rPr>
              <w:t>Questions et commentaires :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 xml:space="preserve"> ils </w:t>
            </w:r>
            <w:r w:rsidR="00BF1BAD" w:rsidRPr="008B0FAB">
              <w:rPr>
                <w:rFonts w:asciiTheme="minorHAnsi" w:hAnsiTheme="minorHAnsi"/>
                <w:sz w:val="24"/>
                <w:szCs w:val="24"/>
              </w:rPr>
              <w:t>ont porté sur :</w:t>
            </w:r>
          </w:p>
          <w:p w:rsidR="00EA3701" w:rsidRPr="008B0FAB" w:rsidRDefault="00BF1BAD" w:rsidP="005872B3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 xml:space="preserve">La 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>représentativité des ONG s au sein de l’équipe d’évaluation</w:t>
            </w:r>
          </w:p>
          <w:p w:rsidR="00EA3701" w:rsidRPr="008B0FAB" w:rsidRDefault="004E231C" w:rsidP="005872B3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Les difficultés</w:t>
            </w:r>
            <w:r w:rsidR="00DF0495" w:rsidRPr="008B0FAB">
              <w:rPr>
                <w:rFonts w:asciiTheme="minorHAnsi" w:hAnsiTheme="minorHAnsi"/>
                <w:sz w:val="24"/>
                <w:szCs w:val="24"/>
              </w:rPr>
              <w:t xml:space="preserve">d’identification des décès liés </w:t>
            </w:r>
            <w:r w:rsidR="00D05E01" w:rsidRPr="008B0FAB">
              <w:rPr>
                <w:rFonts w:asciiTheme="minorHAnsi" w:hAnsiTheme="minorHAnsi"/>
                <w:sz w:val="24"/>
                <w:szCs w:val="24"/>
              </w:rPr>
              <w:t>au paludisme</w:t>
            </w:r>
          </w:p>
          <w:p w:rsidR="00EA3701" w:rsidRPr="008B0FAB" w:rsidRDefault="00DF0495" w:rsidP="005872B3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L’intervention des populations dans l’évaluation</w:t>
            </w:r>
          </w:p>
          <w:p w:rsidR="00B939A2" w:rsidRPr="008B0FAB" w:rsidRDefault="00DF0495" w:rsidP="005872B3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L’exhaustivité des données, et des ONG intervenant dans le paludisme</w:t>
            </w:r>
          </w:p>
          <w:p w:rsidR="00DF0495" w:rsidRPr="008B0FAB" w:rsidRDefault="00DF0495" w:rsidP="00DF0495">
            <w:pPr>
              <w:pStyle w:val="Paragraphedeliste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  <w:p w:rsidR="00DF0495" w:rsidRPr="008B0FAB" w:rsidRDefault="00DF0495" w:rsidP="00DF0495">
            <w:pPr>
              <w:pStyle w:val="Paragraphedeliste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A ces questions, les réponses ci-dessous ont été données :</w:t>
            </w:r>
          </w:p>
          <w:p w:rsidR="00DF0495" w:rsidRPr="008B0FAB" w:rsidRDefault="00DF0495" w:rsidP="00DF0495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Les ONGs seront convoqué à la prochaine réunion du comité de pilotage</w:t>
            </w:r>
          </w:p>
          <w:p w:rsidR="00DF0495" w:rsidRPr="008B0FAB" w:rsidRDefault="00DF0495" w:rsidP="00DF0495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La prise en compte des décès des enfants de moins de 5 ans</w:t>
            </w:r>
          </w:p>
          <w:p w:rsidR="00DF0495" w:rsidRPr="008B0FAB" w:rsidRDefault="00DF0495" w:rsidP="00DF0495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L’utilisation de données qualitatives pour prendre en compte les populations</w:t>
            </w:r>
          </w:p>
          <w:p w:rsidR="00DF0495" w:rsidRPr="008B0FAB" w:rsidRDefault="00DF0495" w:rsidP="00DF0495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lastRenderedPageBreak/>
              <w:t>La cartographie des ongs travaillants dans le cadre du paludisme avec des indicateurs.</w:t>
            </w:r>
          </w:p>
          <w:p w:rsidR="00A17F8F" w:rsidRPr="008B0FAB" w:rsidRDefault="00A17F8F" w:rsidP="00DF0495">
            <w:pPr>
              <w:pStyle w:val="Paragraphedeliste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E231C" w:rsidRPr="008B0FAB" w:rsidTr="00C3204D">
        <w:trPr>
          <w:trHeight w:val="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1C" w:rsidRPr="004E231C" w:rsidRDefault="004E231C" w:rsidP="004E231C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4E231C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Point sur l’évaluation du Cluster Santé ;</w:t>
            </w:r>
          </w:p>
          <w:p w:rsidR="004E231C" w:rsidRPr="008B0FAB" w:rsidRDefault="004E231C" w:rsidP="0057658A">
            <w:pPr>
              <w:pStyle w:val="Paragraphedeliste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1C" w:rsidRDefault="00C20D7D" w:rsidP="00C20D7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Rappel de l’évaluation de performation par les partenaires pour le 27 Mars derniers délai pour le remplissage du questionnaire en ligne,</w:t>
            </w:r>
          </w:p>
          <w:p w:rsidR="00C20D7D" w:rsidRPr="008B0FAB" w:rsidRDefault="00C20D7D" w:rsidP="00C20D7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Un ré- envoi du lien pour les nouveaux inscrits  a été demandé.</w:t>
            </w:r>
          </w:p>
        </w:tc>
      </w:tr>
      <w:tr w:rsidR="00241C8C" w:rsidRPr="008B0FAB" w:rsidTr="00C3204D">
        <w:trPr>
          <w:trHeight w:val="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8C" w:rsidRPr="008B0FAB" w:rsidRDefault="00241C8C" w:rsidP="0057658A">
            <w:pPr>
              <w:pStyle w:val="Paragraphedeliste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241C8C" w:rsidRPr="004E231C" w:rsidRDefault="004E231C" w:rsidP="004E231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E231C">
              <w:rPr>
                <w:rFonts w:asciiTheme="minorHAnsi" w:hAnsiTheme="minorHAnsi"/>
                <w:b/>
                <w:sz w:val="24"/>
                <w:szCs w:val="24"/>
              </w:rPr>
              <w:t>4</w:t>
            </w:r>
            <w:r w:rsidR="00C20D7D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A17F8F" w:rsidRPr="004E231C">
              <w:rPr>
                <w:rFonts w:asciiTheme="minorHAnsi" w:hAnsiTheme="minorHAnsi"/>
                <w:b/>
                <w:sz w:val="24"/>
                <w:szCs w:val="24"/>
              </w:rPr>
              <w:t xml:space="preserve">  Divers</w:t>
            </w: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05" w:rsidRPr="008B0FAB" w:rsidRDefault="005872B3" w:rsidP="005B6605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8B0FAB">
              <w:rPr>
                <w:rFonts w:asciiTheme="minorHAnsi" w:hAnsiTheme="minorHAnsi"/>
                <w:sz w:val="24"/>
                <w:szCs w:val="24"/>
              </w:rPr>
              <w:t>La réunion a été informée sur les points suivants :</w:t>
            </w:r>
          </w:p>
          <w:p w:rsidR="00DF0495" w:rsidRPr="008B0FAB" w:rsidRDefault="00DF0495" w:rsidP="00DF0495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B0FAB">
              <w:rPr>
                <w:rFonts w:asciiTheme="minorHAnsi" w:hAnsiTheme="minorHAnsi" w:cstheme="minorHAnsi"/>
                <w:sz w:val="24"/>
                <w:szCs w:val="24"/>
              </w:rPr>
              <w:t>Mission d’investigation à Kita concernant  les contacts d’un cas confirmé en Guinée et qui avait séjourné dans le village de Baléa dans le Cercle de Kita pour des soins.</w:t>
            </w:r>
          </w:p>
          <w:p w:rsidR="008B0FAB" w:rsidRPr="008B0FAB" w:rsidRDefault="008B0FAB" w:rsidP="00DF0495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B0FAB">
              <w:rPr>
                <w:rFonts w:asciiTheme="minorHAnsi" w:hAnsiTheme="minorHAnsi" w:cstheme="minorHAnsi"/>
                <w:sz w:val="24"/>
                <w:szCs w:val="24"/>
              </w:rPr>
              <w:t>La nouvelle  stratégie de MSF de joindre la vaccination aux CPN</w:t>
            </w:r>
          </w:p>
          <w:p w:rsidR="008B0FAB" w:rsidRPr="008B0FAB" w:rsidRDefault="008B0FAB" w:rsidP="00DF0495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B0FAB">
              <w:rPr>
                <w:rFonts w:asciiTheme="minorHAnsi" w:hAnsiTheme="minorHAnsi" w:cstheme="minorHAnsi"/>
                <w:sz w:val="24"/>
                <w:szCs w:val="24"/>
              </w:rPr>
              <w:t>Prochaine réunion ; le 29 avril avec une présentation de MSF, les volontaires qui souhaitent présenter peuvent le faire d’ici la date</w:t>
            </w:r>
          </w:p>
          <w:p w:rsidR="008B0FAB" w:rsidRPr="008B0FAB" w:rsidRDefault="008B0FAB" w:rsidP="00DF0495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B0FAB">
              <w:rPr>
                <w:rFonts w:asciiTheme="minorHAnsi" w:hAnsiTheme="minorHAnsi" w:cstheme="minorHAnsi"/>
                <w:sz w:val="24"/>
                <w:szCs w:val="24"/>
              </w:rPr>
              <w:t>La présentation des données épidémiologiques du ministère au cours des présentations</w:t>
            </w:r>
          </w:p>
          <w:p w:rsidR="008B0FAB" w:rsidRPr="008B0FAB" w:rsidRDefault="008B0FAB" w:rsidP="00DF0495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B0FAB">
              <w:rPr>
                <w:rFonts w:asciiTheme="minorHAnsi" w:hAnsiTheme="minorHAnsi" w:cstheme="minorHAnsi"/>
                <w:sz w:val="24"/>
                <w:szCs w:val="24"/>
              </w:rPr>
              <w:t>Faire de la task force Ebola, un point de la réunion du cluster, du fait de l’absence de cas d’Ebola</w:t>
            </w:r>
          </w:p>
          <w:p w:rsidR="008B0FAB" w:rsidRPr="008B0FAB" w:rsidRDefault="008B0FAB" w:rsidP="003123F7">
            <w:pPr>
              <w:pStyle w:val="Paragraphedeliste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96A64" w:rsidRPr="008B0FAB" w:rsidRDefault="00796A64" w:rsidP="008B0F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D4D2C" w:rsidRPr="008B0FAB" w:rsidRDefault="003D4D2C" w:rsidP="00796A64">
      <w:pPr>
        <w:pStyle w:val="Paragraphedeliste"/>
        <w:rPr>
          <w:rFonts w:asciiTheme="minorHAnsi" w:hAnsiTheme="minorHAnsi"/>
          <w:sz w:val="24"/>
          <w:szCs w:val="24"/>
        </w:rPr>
      </w:pPr>
    </w:p>
    <w:sectPr w:rsidR="003D4D2C" w:rsidRPr="008B0FAB" w:rsidSect="00B93646">
      <w:pgSz w:w="16838" w:h="11906" w:orient="landscape"/>
      <w:pgMar w:top="567" w:right="794" w:bottom="24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7F1" w:rsidRDefault="00E527F1" w:rsidP="0059187B">
      <w:pPr>
        <w:spacing w:after="0" w:line="240" w:lineRule="auto"/>
      </w:pPr>
      <w:r>
        <w:separator/>
      </w:r>
    </w:p>
  </w:endnote>
  <w:endnote w:type="continuationSeparator" w:id="1">
    <w:p w:rsidR="00E527F1" w:rsidRDefault="00E527F1" w:rsidP="0059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7F1" w:rsidRDefault="00E527F1" w:rsidP="0059187B">
      <w:pPr>
        <w:spacing w:after="0" w:line="240" w:lineRule="auto"/>
      </w:pPr>
      <w:r>
        <w:separator/>
      </w:r>
    </w:p>
  </w:footnote>
  <w:footnote w:type="continuationSeparator" w:id="1">
    <w:p w:rsidR="00E527F1" w:rsidRDefault="00E527F1" w:rsidP="0059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B25"/>
    <w:multiLevelType w:val="hybridMultilevel"/>
    <w:tmpl w:val="891C71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242622"/>
    <w:multiLevelType w:val="hybridMultilevel"/>
    <w:tmpl w:val="27E25952"/>
    <w:lvl w:ilvl="0" w:tplc="3110AE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462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4622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FE6B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F06B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01C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4E2A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202C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02E4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C1212C"/>
    <w:multiLevelType w:val="hybridMultilevel"/>
    <w:tmpl w:val="4EEADA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0D4374"/>
    <w:multiLevelType w:val="hybridMultilevel"/>
    <w:tmpl w:val="DB60A7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122AB6"/>
    <w:multiLevelType w:val="hybridMultilevel"/>
    <w:tmpl w:val="908CB616"/>
    <w:lvl w:ilvl="0" w:tplc="E8105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72803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1BCD1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6BCE8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E1694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16068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36A3B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AFE15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078F5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72340BA"/>
    <w:multiLevelType w:val="hybridMultilevel"/>
    <w:tmpl w:val="AAF29CBA"/>
    <w:lvl w:ilvl="0" w:tplc="9E1CFEC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52469"/>
    <w:multiLevelType w:val="hybridMultilevel"/>
    <w:tmpl w:val="2E42F39C"/>
    <w:lvl w:ilvl="0" w:tplc="2DE07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A9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EA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C1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EE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1A6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81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6B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E0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C40A9A"/>
    <w:multiLevelType w:val="hybridMultilevel"/>
    <w:tmpl w:val="C1CAEF58"/>
    <w:lvl w:ilvl="0" w:tplc="97A65A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28FC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685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2CA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21A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3AF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A58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BA20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28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F8422C"/>
    <w:multiLevelType w:val="hybridMultilevel"/>
    <w:tmpl w:val="18DC14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6D52AC"/>
    <w:multiLevelType w:val="hybridMultilevel"/>
    <w:tmpl w:val="EA3EE9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8446A"/>
    <w:multiLevelType w:val="hybridMultilevel"/>
    <w:tmpl w:val="9D64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96142"/>
    <w:multiLevelType w:val="hybridMultilevel"/>
    <w:tmpl w:val="BF0E00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662CA6"/>
    <w:multiLevelType w:val="hybridMultilevel"/>
    <w:tmpl w:val="CBDEA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63527"/>
    <w:multiLevelType w:val="hybridMultilevel"/>
    <w:tmpl w:val="C1E878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582A25"/>
    <w:multiLevelType w:val="hybridMultilevel"/>
    <w:tmpl w:val="5720EAFE"/>
    <w:lvl w:ilvl="0" w:tplc="F7BCA6F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D71D7"/>
    <w:multiLevelType w:val="hybridMultilevel"/>
    <w:tmpl w:val="1354D0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4F138C"/>
    <w:multiLevelType w:val="hybridMultilevel"/>
    <w:tmpl w:val="EC0664FC"/>
    <w:lvl w:ilvl="0" w:tplc="90AA6C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7E6033"/>
    <w:multiLevelType w:val="hybridMultilevel"/>
    <w:tmpl w:val="B86E0270"/>
    <w:lvl w:ilvl="0" w:tplc="EB002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00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45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E09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7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80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3E7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84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50F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BE188F"/>
    <w:multiLevelType w:val="hybridMultilevel"/>
    <w:tmpl w:val="C2D4B5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FA6AA8"/>
    <w:multiLevelType w:val="hybridMultilevel"/>
    <w:tmpl w:val="D0EA4B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230EB9"/>
    <w:multiLevelType w:val="hybridMultilevel"/>
    <w:tmpl w:val="EA36AD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542316"/>
    <w:multiLevelType w:val="hybridMultilevel"/>
    <w:tmpl w:val="96A254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8E39C6"/>
    <w:multiLevelType w:val="hybridMultilevel"/>
    <w:tmpl w:val="39ACCC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8D7513"/>
    <w:multiLevelType w:val="hybridMultilevel"/>
    <w:tmpl w:val="1CB244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EC5289"/>
    <w:multiLevelType w:val="hybridMultilevel"/>
    <w:tmpl w:val="32E607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6C13BF"/>
    <w:multiLevelType w:val="hybridMultilevel"/>
    <w:tmpl w:val="E7A6752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6E0267"/>
    <w:multiLevelType w:val="hybridMultilevel"/>
    <w:tmpl w:val="F022E8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4C6B7D"/>
    <w:multiLevelType w:val="hybridMultilevel"/>
    <w:tmpl w:val="C8F876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B746269"/>
    <w:multiLevelType w:val="hybridMultilevel"/>
    <w:tmpl w:val="40F8E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A6C28"/>
    <w:multiLevelType w:val="hybridMultilevel"/>
    <w:tmpl w:val="FD7408AE"/>
    <w:lvl w:ilvl="0" w:tplc="63C4E2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36608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8C8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4B3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60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C60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22D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90E7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DEA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"/>
  </w:num>
  <w:num w:numId="4">
    <w:abstractNumId w:val="26"/>
  </w:num>
  <w:num w:numId="5">
    <w:abstractNumId w:val="22"/>
  </w:num>
  <w:num w:numId="6">
    <w:abstractNumId w:val="24"/>
  </w:num>
  <w:num w:numId="7">
    <w:abstractNumId w:val="18"/>
  </w:num>
  <w:num w:numId="8">
    <w:abstractNumId w:val="8"/>
  </w:num>
  <w:num w:numId="9">
    <w:abstractNumId w:val="13"/>
  </w:num>
  <w:num w:numId="10">
    <w:abstractNumId w:val="6"/>
  </w:num>
  <w:num w:numId="11">
    <w:abstractNumId w:val="11"/>
  </w:num>
  <w:num w:numId="12">
    <w:abstractNumId w:val="12"/>
  </w:num>
  <w:num w:numId="13">
    <w:abstractNumId w:val="19"/>
  </w:num>
  <w:num w:numId="14">
    <w:abstractNumId w:val="23"/>
  </w:num>
  <w:num w:numId="15">
    <w:abstractNumId w:val="1"/>
  </w:num>
  <w:num w:numId="16">
    <w:abstractNumId w:val="4"/>
  </w:num>
  <w:num w:numId="17">
    <w:abstractNumId w:val="20"/>
  </w:num>
  <w:num w:numId="18">
    <w:abstractNumId w:val="10"/>
  </w:num>
  <w:num w:numId="19">
    <w:abstractNumId w:val="21"/>
  </w:num>
  <w:num w:numId="20">
    <w:abstractNumId w:val="27"/>
  </w:num>
  <w:num w:numId="21">
    <w:abstractNumId w:val="0"/>
  </w:num>
  <w:num w:numId="22">
    <w:abstractNumId w:val="15"/>
  </w:num>
  <w:num w:numId="23">
    <w:abstractNumId w:val="17"/>
  </w:num>
  <w:num w:numId="24">
    <w:abstractNumId w:val="28"/>
  </w:num>
  <w:num w:numId="25">
    <w:abstractNumId w:val="9"/>
  </w:num>
  <w:num w:numId="26">
    <w:abstractNumId w:val="29"/>
  </w:num>
  <w:num w:numId="27">
    <w:abstractNumId w:val="7"/>
  </w:num>
  <w:num w:numId="28">
    <w:abstractNumId w:val="14"/>
  </w:num>
  <w:num w:numId="29">
    <w:abstractNumId w:val="3"/>
  </w:num>
  <w:num w:numId="30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</w:compat>
  <w:rsids>
    <w:rsidRoot w:val="00196F45"/>
    <w:rsid w:val="0002044F"/>
    <w:rsid w:val="000233F8"/>
    <w:rsid w:val="0002571B"/>
    <w:rsid w:val="000302B0"/>
    <w:rsid w:val="00032E38"/>
    <w:rsid w:val="0006403B"/>
    <w:rsid w:val="0007335D"/>
    <w:rsid w:val="00077FB0"/>
    <w:rsid w:val="0008499A"/>
    <w:rsid w:val="00097729"/>
    <w:rsid w:val="000A7520"/>
    <w:rsid w:val="000C4E34"/>
    <w:rsid w:val="000C523F"/>
    <w:rsid w:val="000D1C6D"/>
    <w:rsid w:val="000E432F"/>
    <w:rsid w:val="000F0178"/>
    <w:rsid w:val="000F04FF"/>
    <w:rsid w:val="000F7DA6"/>
    <w:rsid w:val="00110182"/>
    <w:rsid w:val="00112CD6"/>
    <w:rsid w:val="00113368"/>
    <w:rsid w:val="00116228"/>
    <w:rsid w:val="001166E2"/>
    <w:rsid w:val="00120196"/>
    <w:rsid w:val="00122F22"/>
    <w:rsid w:val="001451BD"/>
    <w:rsid w:val="00147EE0"/>
    <w:rsid w:val="00156903"/>
    <w:rsid w:val="0016561A"/>
    <w:rsid w:val="0016611D"/>
    <w:rsid w:val="00173AE4"/>
    <w:rsid w:val="001748BE"/>
    <w:rsid w:val="00187206"/>
    <w:rsid w:val="00196F45"/>
    <w:rsid w:val="00197E80"/>
    <w:rsid w:val="001A27C1"/>
    <w:rsid w:val="001A4692"/>
    <w:rsid w:val="001B1DCF"/>
    <w:rsid w:val="001C0ABA"/>
    <w:rsid w:val="001D0C78"/>
    <w:rsid w:val="001D136B"/>
    <w:rsid w:val="001E45CF"/>
    <w:rsid w:val="001F44EE"/>
    <w:rsid w:val="001F54AB"/>
    <w:rsid w:val="001F66DE"/>
    <w:rsid w:val="001F764A"/>
    <w:rsid w:val="00203772"/>
    <w:rsid w:val="0020499D"/>
    <w:rsid w:val="00205379"/>
    <w:rsid w:val="00205F93"/>
    <w:rsid w:val="00217ACF"/>
    <w:rsid w:val="00221DB1"/>
    <w:rsid w:val="0024060E"/>
    <w:rsid w:val="00241C8C"/>
    <w:rsid w:val="002448A7"/>
    <w:rsid w:val="00245376"/>
    <w:rsid w:val="00262CE4"/>
    <w:rsid w:val="0028224E"/>
    <w:rsid w:val="00283EBD"/>
    <w:rsid w:val="0028531C"/>
    <w:rsid w:val="0029585E"/>
    <w:rsid w:val="00295DDE"/>
    <w:rsid w:val="002A317C"/>
    <w:rsid w:val="002B347E"/>
    <w:rsid w:val="002B6EF3"/>
    <w:rsid w:val="002D42A9"/>
    <w:rsid w:val="0030505B"/>
    <w:rsid w:val="0030733E"/>
    <w:rsid w:val="003123F7"/>
    <w:rsid w:val="00315A3E"/>
    <w:rsid w:val="00320774"/>
    <w:rsid w:val="00320A63"/>
    <w:rsid w:val="00327815"/>
    <w:rsid w:val="00330C24"/>
    <w:rsid w:val="00337733"/>
    <w:rsid w:val="003377B6"/>
    <w:rsid w:val="0035075C"/>
    <w:rsid w:val="00351A9D"/>
    <w:rsid w:val="00352348"/>
    <w:rsid w:val="00355352"/>
    <w:rsid w:val="0035594E"/>
    <w:rsid w:val="0037473B"/>
    <w:rsid w:val="00375E79"/>
    <w:rsid w:val="003856D5"/>
    <w:rsid w:val="003920F4"/>
    <w:rsid w:val="00392F5A"/>
    <w:rsid w:val="003948D5"/>
    <w:rsid w:val="003A164F"/>
    <w:rsid w:val="003B2C19"/>
    <w:rsid w:val="003B31A0"/>
    <w:rsid w:val="003B5AD1"/>
    <w:rsid w:val="003C4430"/>
    <w:rsid w:val="003D34D9"/>
    <w:rsid w:val="003D4D2C"/>
    <w:rsid w:val="003D6648"/>
    <w:rsid w:val="003E7D40"/>
    <w:rsid w:val="003F5633"/>
    <w:rsid w:val="00440679"/>
    <w:rsid w:val="0045411C"/>
    <w:rsid w:val="00454C04"/>
    <w:rsid w:val="0046123A"/>
    <w:rsid w:val="00466EB8"/>
    <w:rsid w:val="0046732A"/>
    <w:rsid w:val="00467452"/>
    <w:rsid w:val="004735AB"/>
    <w:rsid w:val="00475ED6"/>
    <w:rsid w:val="004858D2"/>
    <w:rsid w:val="0049586E"/>
    <w:rsid w:val="004A213D"/>
    <w:rsid w:val="004A5E86"/>
    <w:rsid w:val="004B5C15"/>
    <w:rsid w:val="004B73E3"/>
    <w:rsid w:val="004B7755"/>
    <w:rsid w:val="004C7F6C"/>
    <w:rsid w:val="004D6911"/>
    <w:rsid w:val="004E1EFC"/>
    <w:rsid w:val="004E231C"/>
    <w:rsid w:val="004E4DD6"/>
    <w:rsid w:val="004F7AFD"/>
    <w:rsid w:val="00507E35"/>
    <w:rsid w:val="00516D83"/>
    <w:rsid w:val="0052205C"/>
    <w:rsid w:val="00546545"/>
    <w:rsid w:val="00550572"/>
    <w:rsid w:val="0055258F"/>
    <w:rsid w:val="005547AF"/>
    <w:rsid w:val="005575F5"/>
    <w:rsid w:val="00565B97"/>
    <w:rsid w:val="0057658A"/>
    <w:rsid w:val="00576B07"/>
    <w:rsid w:val="00582434"/>
    <w:rsid w:val="00583F5C"/>
    <w:rsid w:val="005872B3"/>
    <w:rsid w:val="0059187B"/>
    <w:rsid w:val="005A22CA"/>
    <w:rsid w:val="005A60F2"/>
    <w:rsid w:val="005A73ED"/>
    <w:rsid w:val="005B6605"/>
    <w:rsid w:val="005D0157"/>
    <w:rsid w:val="005D4F45"/>
    <w:rsid w:val="005D51FF"/>
    <w:rsid w:val="005D6E31"/>
    <w:rsid w:val="005E2841"/>
    <w:rsid w:val="005E60C5"/>
    <w:rsid w:val="005E6B7D"/>
    <w:rsid w:val="005F0AEA"/>
    <w:rsid w:val="005F4761"/>
    <w:rsid w:val="0061793B"/>
    <w:rsid w:val="00622250"/>
    <w:rsid w:val="006233D2"/>
    <w:rsid w:val="00654DCB"/>
    <w:rsid w:val="00656843"/>
    <w:rsid w:val="006753AB"/>
    <w:rsid w:val="00682433"/>
    <w:rsid w:val="006874AC"/>
    <w:rsid w:val="00687FA7"/>
    <w:rsid w:val="00690DF5"/>
    <w:rsid w:val="006A070D"/>
    <w:rsid w:val="006A272B"/>
    <w:rsid w:val="006A3024"/>
    <w:rsid w:val="006B74CA"/>
    <w:rsid w:val="006C3B1E"/>
    <w:rsid w:val="006E109B"/>
    <w:rsid w:val="006E1123"/>
    <w:rsid w:val="006F4C71"/>
    <w:rsid w:val="006F53E4"/>
    <w:rsid w:val="006F6E7B"/>
    <w:rsid w:val="007041F6"/>
    <w:rsid w:val="00714419"/>
    <w:rsid w:val="00714AC8"/>
    <w:rsid w:val="00716CF2"/>
    <w:rsid w:val="00723C27"/>
    <w:rsid w:val="0072415E"/>
    <w:rsid w:val="00733860"/>
    <w:rsid w:val="00745903"/>
    <w:rsid w:val="00751E50"/>
    <w:rsid w:val="007528A6"/>
    <w:rsid w:val="00752959"/>
    <w:rsid w:val="00763DA4"/>
    <w:rsid w:val="00770D93"/>
    <w:rsid w:val="007759C7"/>
    <w:rsid w:val="00783F9E"/>
    <w:rsid w:val="00791E56"/>
    <w:rsid w:val="00796A64"/>
    <w:rsid w:val="007A5446"/>
    <w:rsid w:val="007B73BC"/>
    <w:rsid w:val="007C236A"/>
    <w:rsid w:val="007D2B35"/>
    <w:rsid w:val="007D5E19"/>
    <w:rsid w:val="007E0DBC"/>
    <w:rsid w:val="007E4C07"/>
    <w:rsid w:val="007F31DF"/>
    <w:rsid w:val="007F664D"/>
    <w:rsid w:val="007F700B"/>
    <w:rsid w:val="00811629"/>
    <w:rsid w:val="00837D90"/>
    <w:rsid w:val="00847E62"/>
    <w:rsid w:val="00850810"/>
    <w:rsid w:val="0085105B"/>
    <w:rsid w:val="008613A6"/>
    <w:rsid w:val="00876095"/>
    <w:rsid w:val="008A0B5F"/>
    <w:rsid w:val="008A7FD2"/>
    <w:rsid w:val="008B0FAB"/>
    <w:rsid w:val="008B58AF"/>
    <w:rsid w:val="008C4D7B"/>
    <w:rsid w:val="008D14AF"/>
    <w:rsid w:val="008E4AB8"/>
    <w:rsid w:val="008F4310"/>
    <w:rsid w:val="00904ADE"/>
    <w:rsid w:val="009108B9"/>
    <w:rsid w:val="00912AC8"/>
    <w:rsid w:val="00915D7E"/>
    <w:rsid w:val="00922392"/>
    <w:rsid w:val="00940235"/>
    <w:rsid w:val="00952F48"/>
    <w:rsid w:val="00957A98"/>
    <w:rsid w:val="00957C6D"/>
    <w:rsid w:val="00967152"/>
    <w:rsid w:val="009779C3"/>
    <w:rsid w:val="00985196"/>
    <w:rsid w:val="00986B4D"/>
    <w:rsid w:val="009917DD"/>
    <w:rsid w:val="0099669E"/>
    <w:rsid w:val="009A2DC9"/>
    <w:rsid w:val="009B10B3"/>
    <w:rsid w:val="009B2879"/>
    <w:rsid w:val="009B2FC1"/>
    <w:rsid w:val="009B67EF"/>
    <w:rsid w:val="009C7100"/>
    <w:rsid w:val="009D2FB3"/>
    <w:rsid w:val="009D50EB"/>
    <w:rsid w:val="009E1415"/>
    <w:rsid w:val="009F3803"/>
    <w:rsid w:val="009F4917"/>
    <w:rsid w:val="009F4E4A"/>
    <w:rsid w:val="00A06715"/>
    <w:rsid w:val="00A11415"/>
    <w:rsid w:val="00A14E08"/>
    <w:rsid w:val="00A17F8F"/>
    <w:rsid w:val="00A204E9"/>
    <w:rsid w:val="00A30E32"/>
    <w:rsid w:val="00A42573"/>
    <w:rsid w:val="00A52425"/>
    <w:rsid w:val="00A5766E"/>
    <w:rsid w:val="00A63602"/>
    <w:rsid w:val="00A643D0"/>
    <w:rsid w:val="00A7223F"/>
    <w:rsid w:val="00A91134"/>
    <w:rsid w:val="00A912EE"/>
    <w:rsid w:val="00A94719"/>
    <w:rsid w:val="00AA2DEB"/>
    <w:rsid w:val="00AA3015"/>
    <w:rsid w:val="00AA58A4"/>
    <w:rsid w:val="00AB1F94"/>
    <w:rsid w:val="00AB2AB9"/>
    <w:rsid w:val="00AB7066"/>
    <w:rsid w:val="00AC2A8F"/>
    <w:rsid w:val="00AC567B"/>
    <w:rsid w:val="00AD20EF"/>
    <w:rsid w:val="00AE115C"/>
    <w:rsid w:val="00AE2C8A"/>
    <w:rsid w:val="00AE71EC"/>
    <w:rsid w:val="00AF3E7F"/>
    <w:rsid w:val="00B05AC5"/>
    <w:rsid w:val="00B0650F"/>
    <w:rsid w:val="00B12407"/>
    <w:rsid w:val="00B20D8E"/>
    <w:rsid w:val="00B233DB"/>
    <w:rsid w:val="00B248D0"/>
    <w:rsid w:val="00B32095"/>
    <w:rsid w:val="00B37ACD"/>
    <w:rsid w:val="00B43018"/>
    <w:rsid w:val="00B549F7"/>
    <w:rsid w:val="00B55919"/>
    <w:rsid w:val="00B559C8"/>
    <w:rsid w:val="00B62E92"/>
    <w:rsid w:val="00B730C7"/>
    <w:rsid w:val="00B93646"/>
    <w:rsid w:val="00B939A2"/>
    <w:rsid w:val="00B9492F"/>
    <w:rsid w:val="00BA5FAC"/>
    <w:rsid w:val="00BB09C5"/>
    <w:rsid w:val="00BB66D8"/>
    <w:rsid w:val="00BC4A6F"/>
    <w:rsid w:val="00BE13C7"/>
    <w:rsid w:val="00BE4F76"/>
    <w:rsid w:val="00BF1BAD"/>
    <w:rsid w:val="00BF6014"/>
    <w:rsid w:val="00C009CE"/>
    <w:rsid w:val="00C12554"/>
    <w:rsid w:val="00C14652"/>
    <w:rsid w:val="00C20D7D"/>
    <w:rsid w:val="00C21F91"/>
    <w:rsid w:val="00C33483"/>
    <w:rsid w:val="00C34008"/>
    <w:rsid w:val="00C340D5"/>
    <w:rsid w:val="00C344F7"/>
    <w:rsid w:val="00C4123F"/>
    <w:rsid w:val="00C444FB"/>
    <w:rsid w:val="00C47224"/>
    <w:rsid w:val="00C668E9"/>
    <w:rsid w:val="00C66C03"/>
    <w:rsid w:val="00C71DD1"/>
    <w:rsid w:val="00C74D69"/>
    <w:rsid w:val="00C7670C"/>
    <w:rsid w:val="00C90E17"/>
    <w:rsid w:val="00C91629"/>
    <w:rsid w:val="00CB2728"/>
    <w:rsid w:val="00CC4BFB"/>
    <w:rsid w:val="00CF25E8"/>
    <w:rsid w:val="00CF38E1"/>
    <w:rsid w:val="00CF7F6C"/>
    <w:rsid w:val="00D05E01"/>
    <w:rsid w:val="00D1591A"/>
    <w:rsid w:val="00D314C5"/>
    <w:rsid w:val="00D31FBC"/>
    <w:rsid w:val="00D446AD"/>
    <w:rsid w:val="00D47B3B"/>
    <w:rsid w:val="00D55A5E"/>
    <w:rsid w:val="00D565D2"/>
    <w:rsid w:val="00D6575D"/>
    <w:rsid w:val="00D758E6"/>
    <w:rsid w:val="00D763AE"/>
    <w:rsid w:val="00D76ABD"/>
    <w:rsid w:val="00D81890"/>
    <w:rsid w:val="00D95F7E"/>
    <w:rsid w:val="00DA07A4"/>
    <w:rsid w:val="00DB3375"/>
    <w:rsid w:val="00DB5A6A"/>
    <w:rsid w:val="00DC7BBC"/>
    <w:rsid w:val="00DD07BA"/>
    <w:rsid w:val="00DD20E1"/>
    <w:rsid w:val="00DD602E"/>
    <w:rsid w:val="00DF0495"/>
    <w:rsid w:val="00DF08AB"/>
    <w:rsid w:val="00E02A57"/>
    <w:rsid w:val="00E14425"/>
    <w:rsid w:val="00E15042"/>
    <w:rsid w:val="00E220AA"/>
    <w:rsid w:val="00E24DCC"/>
    <w:rsid w:val="00E263DE"/>
    <w:rsid w:val="00E304D1"/>
    <w:rsid w:val="00E34A0D"/>
    <w:rsid w:val="00E42868"/>
    <w:rsid w:val="00E4337D"/>
    <w:rsid w:val="00E45809"/>
    <w:rsid w:val="00E46AA3"/>
    <w:rsid w:val="00E52306"/>
    <w:rsid w:val="00E527F1"/>
    <w:rsid w:val="00E52C65"/>
    <w:rsid w:val="00E564E0"/>
    <w:rsid w:val="00E5691D"/>
    <w:rsid w:val="00E62CD5"/>
    <w:rsid w:val="00E71262"/>
    <w:rsid w:val="00E75E6C"/>
    <w:rsid w:val="00E92374"/>
    <w:rsid w:val="00E931DB"/>
    <w:rsid w:val="00E936A9"/>
    <w:rsid w:val="00EA1284"/>
    <w:rsid w:val="00EA3701"/>
    <w:rsid w:val="00EB77F4"/>
    <w:rsid w:val="00EC329E"/>
    <w:rsid w:val="00EC7663"/>
    <w:rsid w:val="00ED4360"/>
    <w:rsid w:val="00EF420F"/>
    <w:rsid w:val="00F011AF"/>
    <w:rsid w:val="00F02E99"/>
    <w:rsid w:val="00F13FB5"/>
    <w:rsid w:val="00F24B75"/>
    <w:rsid w:val="00F26309"/>
    <w:rsid w:val="00F337AF"/>
    <w:rsid w:val="00F33C79"/>
    <w:rsid w:val="00F33C86"/>
    <w:rsid w:val="00F370D7"/>
    <w:rsid w:val="00F51DC2"/>
    <w:rsid w:val="00F5478B"/>
    <w:rsid w:val="00F55F09"/>
    <w:rsid w:val="00F562A3"/>
    <w:rsid w:val="00F56F1C"/>
    <w:rsid w:val="00F739AB"/>
    <w:rsid w:val="00F73A9A"/>
    <w:rsid w:val="00F77C8C"/>
    <w:rsid w:val="00F84A54"/>
    <w:rsid w:val="00F8595F"/>
    <w:rsid w:val="00F969D7"/>
    <w:rsid w:val="00FB050A"/>
    <w:rsid w:val="00FC2BD6"/>
    <w:rsid w:val="00FE1E34"/>
    <w:rsid w:val="00FE458E"/>
    <w:rsid w:val="00FF0372"/>
    <w:rsid w:val="00FF1C48"/>
    <w:rsid w:val="00FF3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4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6F45"/>
    <w:pPr>
      <w:spacing w:after="0" w:line="240" w:lineRule="auto"/>
      <w:ind w:left="720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1B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87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9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87B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B559C8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D44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16D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141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4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6F45"/>
    <w:pPr>
      <w:spacing w:after="0" w:line="240" w:lineRule="auto"/>
      <w:ind w:left="720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1B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87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9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87B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B559C8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D44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16D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1415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5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4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6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8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6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48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4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5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9047">
          <w:marLeft w:val="547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1301">
          <w:marLeft w:val="547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7748">
          <w:marLeft w:val="547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550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9150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026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75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61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21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446">
          <w:marLeft w:val="547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567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072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423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194">
          <w:marLeft w:val="547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987">
          <w:marLeft w:val="547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3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BF7FC0-454D-4278-9DE3-F690FD36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Cluster-sante</dc:creator>
  <cp:lastModifiedBy>NIAKA</cp:lastModifiedBy>
  <cp:revision>2</cp:revision>
  <cp:lastPrinted>2015-01-19T09:51:00Z</cp:lastPrinted>
  <dcterms:created xsi:type="dcterms:W3CDTF">2015-03-20T12:31:00Z</dcterms:created>
  <dcterms:modified xsi:type="dcterms:W3CDTF">2015-03-20T12:31:00Z</dcterms:modified>
</cp:coreProperties>
</file>